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E40B" w14:textId="16F4D29E" w:rsidR="00C50C28" w:rsidRPr="00C50C28" w:rsidRDefault="00C50C28" w:rsidP="00C50C28">
      <w:pPr>
        <w:spacing w:after="0" w:line="240" w:lineRule="auto"/>
        <w:jc w:val="center"/>
        <w:rPr>
          <w:rFonts w:eastAsia="Times New Roman" w:cs="Times New Roman"/>
          <w:b/>
          <w:szCs w:val="24"/>
          <w:lang w:eastAsia="lt-LT"/>
        </w:rPr>
      </w:pPr>
      <w:r w:rsidRPr="00C50C28">
        <w:rPr>
          <w:rFonts w:eastAsia="Times New Roman" w:cs="Times New Roman"/>
          <w:b/>
          <w:szCs w:val="24"/>
          <w:lang w:eastAsia="lt-LT"/>
        </w:rPr>
        <w:t xml:space="preserve">KORUPCIJOS RIZIKOS ANALIZĖS IŠVADOJE ENDOPROTEZAVIMO VEIKLOS SRITYSE </w:t>
      </w:r>
      <w:r w:rsidRPr="00C50C28">
        <w:rPr>
          <w:rFonts w:eastAsia="Times New Roman" w:cs="Times New Roman"/>
          <w:b/>
          <w:szCs w:val="24"/>
          <w:u w:val="single"/>
          <w:lang w:eastAsia="lt-LT"/>
        </w:rPr>
        <w:t>KLAIPĖDOS UNIVERSITET</w:t>
      </w:r>
      <w:r w:rsidR="00647357">
        <w:rPr>
          <w:rFonts w:eastAsia="Times New Roman" w:cs="Times New Roman"/>
          <w:b/>
          <w:szCs w:val="24"/>
          <w:u w:val="single"/>
          <w:lang w:eastAsia="lt-LT"/>
        </w:rPr>
        <w:t xml:space="preserve">O </w:t>
      </w:r>
      <w:r w:rsidRPr="00C50C28">
        <w:rPr>
          <w:rFonts w:eastAsia="Times New Roman" w:cs="Times New Roman"/>
          <w:b/>
          <w:szCs w:val="24"/>
          <w:u w:val="single"/>
          <w:lang w:eastAsia="lt-LT"/>
        </w:rPr>
        <w:t xml:space="preserve">LIGONINEI </w:t>
      </w:r>
      <w:r w:rsidRPr="00C50C28">
        <w:rPr>
          <w:rFonts w:eastAsia="Times New Roman" w:cs="Times New Roman"/>
          <w:b/>
          <w:szCs w:val="24"/>
          <w:lang w:eastAsia="lt-LT"/>
        </w:rPr>
        <w:t xml:space="preserve"> PATEIKTŲ PASIŪLYMŲ ĮGYVENDINIMO STEBĖSENA</w:t>
      </w:r>
    </w:p>
    <w:p w14:paraId="4E575722" w14:textId="77777777" w:rsidR="00C50C28" w:rsidRPr="00C50C28" w:rsidRDefault="00C50C28" w:rsidP="00C50C28">
      <w:pPr>
        <w:spacing w:after="0" w:line="240" w:lineRule="auto"/>
        <w:rPr>
          <w:rFonts w:eastAsia="Times New Roman" w:cs="Times New Roman"/>
          <w:szCs w:val="24"/>
          <w:lang w:eastAsia="lt-LT"/>
        </w:rPr>
      </w:pPr>
    </w:p>
    <w:p w14:paraId="07B684BA" w14:textId="70946407" w:rsidR="00C50C28" w:rsidRPr="00C50C28" w:rsidRDefault="00C50C28" w:rsidP="00C50C28">
      <w:pPr>
        <w:spacing w:after="0" w:line="360" w:lineRule="auto"/>
        <w:ind w:firstLine="851"/>
        <w:jc w:val="both"/>
        <w:rPr>
          <w:rFonts w:eastAsia="Times New Roman" w:cs="Times New Roman"/>
          <w:bCs/>
          <w:szCs w:val="24"/>
          <w:lang w:eastAsia="lt-LT"/>
        </w:rPr>
      </w:pPr>
      <w:r w:rsidRPr="00C50C28">
        <w:rPr>
          <w:rFonts w:eastAsia="Times New Roman" w:cs="Times New Roman"/>
          <w:szCs w:val="24"/>
          <w:lang w:eastAsia="lt-LT"/>
        </w:rPr>
        <w:t>Lietuvos Respublikos specialiųjų tyrimų tarnyba (toliau – STT) atliko Valstybinių ligonių kasose (toliau – VLK), VŠĮ Respublikinės Vilniaus universitetinės ligoninės, VŠĮ Lietuvos sveikatos mokslų universiteto ligoninės Kauno klinikų, VŠĮ Lietuvos sveikatos mokslų universiteto Kauno ligoninės, VŠĮ Klaipėdos universitet</w:t>
      </w:r>
      <w:r w:rsidR="00647357">
        <w:rPr>
          <w:rFonts w:eastAsia="Times New Roman" w:cs="Times New Roman"/>
          <w:szCs w:val="24"/>
          <w:lang w:eastAsia="lt-LT"/>
        </w:rPr>
        <w:t>o</w:t>
      </w:r>
      <w:r w:rsidRPr="00C50C28">
        <w:rPr>
          <w:rFonts w:eastAsia="Times New Roman" w:cs="Times New Roman"/>
          <w:szCs w:val="24"/>
          <w:lang w:eastAsia="lt-LT"/>
        </w:rPr>
        <w:t xml:space="preserve"> ligoninės (toliau – KLUL) ir VŠĮ Ukmergės ligoninės </w:t>
      </w:r>
      <w:r w:rsidRPr="00C50C28">
        <w:rPr>
          <w:rFonts w:eastAsia="Times New Roman" w:cs="Times New Roman"/>
          <w:i/>
          <w:szCs w:val="24"/>
          <w:lang w:eastAsia="lt-LT"/>
        </w:rPr>
        <w:t>v</w:t>
      </w:r>
      <w:r w:rsidRPr="00C50C28">
        <w:rPr>
          <w:rFonts w:eastAsia="Times New Roman" w:cs="Times New Roman"/>
          <w:i/>
          <w:color w:val="000000"/>
          <w:szCs w:val="24"/>
          <w:lang w:eastAsia="lt-LT"/>
        </w:rPr>
        <w:t xml:space="preserve">isų rūšių ir lokalizacijų sąnarių </w:t>
      </w:r>
      <w:r w:rsidRPr="00C50C28">
        <w:rPr>
          <w:rFonts w:eastAsia="Calibri" w:cs="Times New Roman"/>
          <w:i/>
          <w:szCs w:val="24"/>
          <w:lang w:eastAsia="lt-LT"/>
        </w:rPr>
        <w:t xml:space="preserve">endoprotezų, jų priedų ir komponentų (toliau –endoprotezai) </w:t>
      </w:r>
      <w:r w:rsidRPr="00C50C28">
        <w:rPr>
          <w:rFonts w:eastAsia="Times New Roman" w:cs="Times New Roman"/>
          <w:i/>
          <w:szCs w:val="24"/>
          <w:lang w:eastAsia="lt-LT"/>
        </w:rPr>
        <w:t>techninių specifikacijų rengimo ir tiekėjų pasiūlymų vertinimo; įsigytų endoprotezų paskirstymo ir panaudojimo ASPĮ teikiant endoprotezavimo paslaugas</w:t>
      </w:r>
      <w:r w:rsidRPr="00C50C28">
        <w:rPr>
          <w:rFonts w:eastAsia="Times New Roman" w:cs="Times New Roman"/>
          <w:bCs/>
          <w:i/>
          <w:szCs w:val="24"/>
          <w:lang w:eastAsia="lt-LT"/>
        </w:rPr>
        <w:t xml:space="preserve"> veiklos srityse</w:t>
      </w:r>
      <w:r w:rsidRPr="00C50C28">
        <w:rPr>
          <w:rFonts w:eastAsia="Times New Roman" w:cs="Times New Roman"/>
          <w:szCs w:val="24"/>
          <w:lang w:eastAsia="lt-LT"/>
        </w:rPr>
        <w:t xml:space="preserve">. </w:t>
      </w:r>
      <w:r w:rsidRPr="00C50C28">
        <w:rPr>
          <w:rFonts w:eastAsia="Times New Roman" w:cs="Times New Roman"/>
          <w:bCs/>
          <w:szCs w:val="24"/>
          <w:lang w:eastAsia="lt-LT"/>
        </w:rPr>
        <w:t>Korupcijos rizikos analizės išvada (toliau – KRA išvada) ir pasiūlymai Sveikatos apsaugos ministerijai (toliau – SAM) ir analizuojamiems subjektams pateikti STT 2022 m. sausio 27 d. raštu Nr. 4-01-647.</w:t>
      </w:r>
    </w:p>
    <w:p w14:paraId="000E9117" w14:textId="77777777" w:rsidR="00C50C28" w:rsidRPr="00C50C28" w:rsidRDefault="00C50C28" w:rsidP="00C50C28">
      <w:pPr>
        <w:spacing w:after="0" w:line="360" w:lineRule="auto"/>
        <w:ind w:firstLine="851"/>
        <w:jc w:val="both"/>
        <w:rPr>
          <w:rFonts w:eastAsia="Times New Roman" w:cs="Times New Roman"/>
          <w:bCs/>
          <w:szCs w:val="24"/>
          <w:lang w:eastAsia="lt-LT"/>
        </w:rPr>
      </w:pPr>
      <w:r w:rsidRPr="00C50C28">
        <w:rPr>
          <w:rFonts w:eastAsia="Times New Roman" w:cs="Times New Roman"/>
          <w:bCs/>
          <w:szCs w:val="24"/>
          <w:lang w:eastAsia="lt-LT"/>
        </w:rPr>
        <w:t xml:space="preserve">KRA išvadoje </w:t>
      </w:r>
      <w:r w:rsidRPr="00C50C28">
        <w:rPr>
          <w:rFonts w:eastAsia="Times New Roman" w:cs="Times New Roman"/>
          <w:szCs w:val="24"/>
          <w:lang w:eastAsia="lt-LT"/>
        </w:rPr>
        <w:t xml:space="preserve">KLUL </w:t>
      </w:r>
      <w:r w:rsidRPr="00C50C28">
        <w:rPr>
          <w:rFonts w:eastAsia="Times New Roman" w:cs="Times New Roman"/>
          <w:bCs/>
          <w:szCs w:val="24"/>
          <w:lang w:eastAsia="lt-LT"/>
        </w:rPr>
        <w:t>buvo pateikti 7 pasiūlymai (4 pasiūlymai – dėl kritinių pastabų, 2 pasiūlymai – dėl kitų antikorupcinių pastabų, 1 pasiūlymas – dėl kitų pastabų).</w:t>
      </w:r>
    </w:p>
    <w:p w14:paraId="49E0D7B4" w14:textId="77777777" w:rsidR="00C50C28" w:rsidRPr="00C50C28" w:rsidRDefault="00C50C28" w:rsidP="00C50C28">
      <w:pPr>
        <w:spacing w:after="0" w:line="240" w:lineRule="auto"/>
        <w:jc w:val="center"/>
        <w:rPr>
          <w:rFonts w:eastAsia="Times New Roman" w:cs="Times New Roman"/>
          <w:szCs w:val="24"/>
          <w:lang w:eastAsia="lt-LT"/>
        </w:rPr>
      </w:pPr>
    </w:p>
    <w:tbl>
      <w:tblPr>
        <w:tblStyle w:val="TableGrid"/>
        <w:tblW w:w="14737" w:type="dxa"/>
        <w:tblLook w:val="04A0" w:firstRow="1" w:lastRow="0" w:firstColumn="1" w:lastColumn="0" w:noHBand="0" w:noVBand="1"/>
      </w:tblPr>
      <w:tblGrid>
        <w:gridCol w:w="3539"/>
        <w:gridCol w:w="3544"/>
        <w:gridCol w:w="3827"/>
        <w:gridCol w:w="3827"/>
      </w:tblGrid>
      <w:tr w:rsidR="00C50C28" w:rsidRPr="00C50C28" w14:paraId="79519204" w14:textId="77777777" w:rsidTr="009E0638">
        <w:tc>
          <w:tcPr>
            <w:tcW w:w="3539" w:type="dxa"/>
          </w:tcPr>
          <w:p w14:paraId="51BFDEA5" w14:textId="77777777" w:rsidR="00C50C28" w:rsidRPr="00C50C28" w:rsidRDefault="00C50C28" w:rsidP="00C50C28">
            <w:pPr>
              <w:widowControl w:val="0"/>
              <w:jc w:val="center"/>
              <w:rPr>
                <w:i/>
                <w:snapToGrid w:val="0"/>
                <w:szCs w:val="24"/>
                <w:lang w:eastAsia="lt-LT"/>
              </w:rPr>
            </w:pPr>
            <w:r w:rsidRPr="00C50C28">
              <w:rPr>
                <w:i/>
                <w:snapToGrid w:val="0"/>
                <w:szCs w:val="24"/>
                <w:lang w:eastAsia="lt-LT"/>
              </w:rPr>
              <w:t>Pateiktos pastabos</w:t>
            </w:r>
          </w:p>
        </w:tc>
        <w:tc>
          <w:tcPr>
            <w:tcW w:w="3544" w:type="dxa"/>
          </w:tcPr>
          <w:p w14:paraId="48CD47A4" w14:textId="77777777" w:rsidR="00C50C28" w:rsidRPr="00C50C28" w:rsidRDefault="00C50C28" w:rsidP="00C50C28">
            <w:pPr>
              <w:widowControl w:val="0"/>
              <w:jc w:val="center"/>
              <w:rPr>
                <w:i/>
                <w:snapToGrid w:val="0"/>
                <w:szCs w:val="24"/>
                <w:lang w:eastAsia="lt-LT"/>
              </w:rPr>
            </w:pPr>
            <w:r w:rsidRPr="00C50C28">
              <w:rPr>
                <w:i/>
                <w:snapToGrid w:val="0"/>
                <w:szCs w:val="24"/>
                <w:lang w:eastAsia="lt-LT"/>
              </w:rPr>
              <w:t>Pasiūlymai atsižvelgiant į pateiktas pastabas</w:t>
            </w:r>
          </w:p>
        </w:tc>
        <w:tc>
          <w:tcPr>
            <w:tcW w:w="3827" w:type="dxa"/>
          </w:tcPr>
          <w:p w14:paraId="06424768" w14:textId="77777777" w:rsidR="00C50C28" w:rsidRPr="00C50C28" w:rsidRDefault="00C50C28" w:rsidP="00C50C28">
            <w:pPr>
              <w:widowControl w:val="0"/>
              <w:jc w:val="center"/>
              <w:rPr>
                <w:i/>
                <w:snapToGrid w:val="0"/>
                <w:szCs w:val="24"/>
                <w:lang w:eastAsia="lt-LT"/>
              </w:rPr>
            </w:pPr>
            <w:r w:rsidRPr="00C50C28">
              <w:rPr>
                <w:i/>
                <w:snapToGrid w:val="0"/>
                <w:szCs w:val="24"/>
                <w:lang w:eastAsia="lt-LT"/>
              </w:rPr>
              <w:t>Duomenys apie pastabų ir pasiūlymų įgyvendinimą</w:t>
            </w:r>
          </w:p>
        </w:tc>
        <w:tc>
          <w:tcPr>
            <w:tcW w:w="3827" w:type="dxa"/>
          </w:tcPr>
          <w:p w14:paraId="37BA18AE" w14:textId="77777777" w:rsidR="00C50C28" w:rsidRPr="00C50C28" w:rsidRDefault="00C50C28" w:rsidP="00C50C28">
            <w:pPr>
              <w:widowControl w:val="0"/>
              <w:jc w:val="center"/>
              <w:rPr>
                <w:i/>
                <w:snapToGrid w:val="0"/>
                <w:szCs w:val="24"/>
                <w:lang w:eastAsia="lt-LT"/>
              </w:rPr>
            </w:pPr>
            <w:r w:rsidRPr="00C50C28">
              <w:rPr>
                <w:i/>
                <w:snapToGrid w:val="0"/>
                <w:szCs w:val="24"/>
                <w:lang w:eastAsia="lt-LT"/>
              </w:rPr>
              <w:t>Specialiųjų tyrimų tarnybos vertinimas</w:t>
            </w:r>
          </w:p>
        </w:tc>
      </w:tr>
      <w:tr w:rsidR="00C50C28" w:rsidRPr="00C50C28" w14:paraId="599FACDA" w14:textId="77777777" w:rsidTr="009E0638">
        <w:trPr>
          <w:trHeight w:val="481"/>
        </w:trPr>
        <w:tc>
          <w:tcPr>
            <w:tcW w:w="14737" w:type="dxa"/>
            <w:gridSpan w:val="4"/>
          </w:tcPr>
          <w:p w14:paraId="495B963E" w14:textId="77777777" w:rsidR="00C50C28" w:rsidRPr="00C50C28" w:rsidRDefault="00C50C28" w:rsidP="00C50C28">
            <w:pPr>
              <w:widowControl w:val="0"/>
              <w:numPr>
                <w:ilvl w:val="0"/>
                <w:numId w:val="1"/>
              </w:numPr>
              <w:contextualSpacing/>
              <w:jc w:val="center"/>
              <w:rPr>
                <w:b/>
                <w:i/>
                <w:snapToGrid w:val="0"/>
              </w:rPr>
            </w:pPr>
            <w:r w:rsidRPr="00C50C28">
              <w:rPr>
                <w:b/>
                <w:i/>
                <w:snapToGrid w:val="0"/>
              </w:rPr>
              <w:t>Kritinės antikorupcinės pastabos</w:t>
            </w:r>
          </w:p>
        </w:tc>
      </w:tr>
      <w:tr w:rsidR="00C50C28" w:rsidRPr="00C50C28" w14:paraId="4A6AA6A5" w14:textId="77777777" w:rsidTr="009E0638">
        <w:tc>
          <w:tcPr>
            <w:tcW w:w="3539" w:type="dxa"/>
            <w:vMerge w:val="restart"/>
          </w:tcPr>
          <w:p w14:paraId="5DB7095A" w14:textId="77777777" w:rsidR="00C50C28" w:rsidRPr="00C50C28" w:rsidRDefault="00C50C28" w:rsidP="00C50C28">
            <w:pPr>
              <w:widowControl w:val="0"/>
              <w:tabs>
                <w:tab w:val="left" w:pos="600"/>
              </w:tabs>
              <w:jc w:val="both"/>
              <w:rPr>
                <w:snapToGrid w:val="0"/>
                <w:szCs w:val="24"/>
                <w:lang w:eastAsia="lt-LT"/>
              </w:rPr>
            </w:pPr>
            <w:r w:rsidRPr="00C50C28">
              <w:rPr>
                <w:snapToGrid w:val="0"/>
                <w:szCs w:val="24"/>
                <w:lang w:eastAsia="lt-LT"/>
              </w:rPr>
              <w:t>1.1.2.</w:t>
            </w:r>
            <w:r w:rsidRPr="00C50C28">
              <w:rPr>
                <w:snapToGrid w:val="0"/>
                <w:szCs w:val="24"/>
                <w:lang w:eastAsia="lt-LT"/>
              </w:rPr>
              <w:tab/>
              <w:t xml:space="preserve">Netinkama endoprotezų specifikacijų rengimo komisijų sudarymo praktika suteikia neproporcingai didelę sprendimų priėmimo galią mažumai komisijų narių: gydytojams ekspertams Asociacijų vadovams, kurie turi tiesioginių ar netiesioginių finansinių ryšių su endoprotezų tiekėjais per vadovaujamas Asociacijas, didina interesų konfliktų komisijose tikimybę ir kelia visuomenei abejones dėl komisijų priimtų sprendimų skaidrumo ir pagrįstumo (motyvai </w:t>
            </w:r>
            <w:r w:rsidRPr="00C50C28">
              <w:rPr>
                <w:snapToGrid w:val="0"/>
                <w:szCs w:val="24"/>
                <w:lang w:eastAsia="lt-LT"/>
              </w:rPr>
              <w:lastRenderedPageBreak/>
              <w:t>nurodyti išvados 3.1 skirsnyje).</w:t>
            </w:r>
          </w:p>
        </w:tc>
        <w:tc>
          <w:tcPr>
            <w:tcW w:w="3544" w:type="dxa"/>
            <w:vMerge w:val="restart"/>
          </w:tcPr>
          <w:p w14:paraId="51EE9996" w14:textId="77777777" w:rsidR="00C50C28" w:rsidRPr="00C50C28" w:rsidRDefault="00C50C28" w:rsidP="00C50C28">
            <w:pPr>
              <w:widowControl w:val="0"/>
              <w:jc w:val="both"/>
              <w:rPr>
                <w:snapToGrid w:val="0"/>
                <w:szCs w:val="24"/>
                <w:lang w:eastAsia="lt-LT"/>
              </w:rPr>
            </w:pPr>
            <w:r w:rsidRPr="00C50C28">
              <w:rPr>
                <w:snapToGrid w:val="0"/>
                <w:szCs w:val="24"/>
                <w:lang w:eastAsia="lt-LT"/>
              </w:rPr>
              <w:lastRenderedPageBreak/>
              <w:t>1.7. Į komisijas deleguoti ASPĮ gydytojus ekspertus, atitinkančius VLK nustatytus minimalius kvalifikacijos ir patirties reikalavimus, deleguojant kelis ASPĮ atstovus, skirti nesusijusius tarpusavio pavaldumo ryšiais gydytojus ekspertus (išvados 5 skyriaus 1.1.2 p. nurodyta pastaba).</w:t>
            </w:r>
          </w:p>
        </w:tc>
        <w:tc>
          <w:tcPr>
            <w:tcW w:w="3827" w:type="dxa"/>
          </w:tcPr>
          <w:p w14:paraId="4986EBCE" w14:textId="77777777" w:rsidR="00C50C28" w:rsidRPr="00C50C28" w:rsidRDefault="00C50C28" w:rsidP="00C50C28">
            <w:pPr>
              <w:widowControl w:val="0"/>
              <w:jc w:val="both"/>
              <w:rPr>
                <w:b/>
                <w:bCs/>
                <w:szCs w:val="24"/>
                <w:lang w:eastAsia="lt-LT"/>
              </w:rPr>
            </w:pPr>
            <w:r w:rsidRPr="00C50C28">
              <w:rPr>
                <w:b/>
                <w:bCs/>
                <w:szCs w:val="24"/>
                <w:lang w:eastAsia="lt-LT"/>
              </w:rPr>
              <w:t xml:space="preserve">2022-05-25 </w:t>
            </w:r>
          </w:p>
          <w:p w14:paraId="58110F48" w14:textId="77777777" w:rsidR="00C50C28" w:rsidRPr="00C50C28" w:rsidRDefault="00C50C28" w:rsidP="00C50C28">
            <w:pPr>
              <w:widowControl w:val="0"/>
              <w:jc w:val="both"/>
              <w:rPr>
                <w:snapToGrid w:val="0"/>
                <w:szCs w:val="24"/>
                <w:lang w:eastAsia="lt-LT"/>
              </w:rPr>
            </w:pPr>
            <w:r w:rsidRPr="00C50C28">
              <w:rPr>
                <w:snapToGrid w:val="0"/>
                <w:szCs w:val="24"/>
                <w:lang w:eastAsia="lt-LT"/>
              </w:rPr>
              <w:t>Informacija nepaskelbta</w:t>
            </w:r>
          </w:p>
        </w:tc>
        <w:tc>
          <w:tcPr>
            <w:tcW w:w="3827" w:type="dxa"/>
          </w:tcPr>
          <w:p w14:paraId="21842802" w14:textId="77777777" w:rsidR="00C50C28" w:rsidRPr="00C50C28" w:rsidRDefault="00C50C28" w:rsidP="00C50C28">
            <w:pPr>
              <w:widowControl w:val="0"/>
              <w:jc w:val="both"/>
              <w:rPr>
                <w:b/>
                <w:bCs/>
                <w:szCs w:val="24"/>
                <w:lang w:eastAsia="lt-LT"/>
              </w:rPr>
            </w:pPr>
            <w:r w:rsidRPr="00C50C28">
              <w:rPr>
                <w:b/>
                <w:bCs/>
                <w:szCs w:val="24"/>
                <w:lang w:eastAsia="lt-LT"/>
              </w:rPr>
              <w:t xml:space="preserve">2022-06-09 </w:t>
            </w:r>
          </w:p>
          <w:p w14:paraId="65FF88F3" w14:textId="77777777" w:rsidR="00C50C28" w:rsidRPr="00C50C28" w:rsidRDefault="00C50C28" w:rsidP="00C50C28">
            <w:pPr>
              <w:rPr>
                <w:b/>
                <w:color w:val="FF0000"/>
                <w:szCs w:val="24"/>
                <w:lang w:eastAsia="lt-LT"/>
              </w:rPr>
            </w:pPr>
            <w:r w:rsidRPr="00C50C28">
              <w:rPr>
                <w:b/>
                <w:color w:val="FF0000"/>
                <w:szCs w:val="24"/>
                <w:lang w:eastAsia="lt-LT"/>
              </w:rPr>
              <w:t>Neįgyvendinta</w:t>
            </w:r>
          </w:p>
          <w:p w14:paraId="1735C346"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Nenurodyta ar įstaiga po išvados pateikimo delegavo darbuotojus į komisijos narius, delegavimo faktinės aplinkybės, nepateikti delegavimą patvirtinantys raštai ar kiti dokumentai. </w:t>
            </w:r>
          </w:p>
          <w:p w14:paraId="0491049D" w14:textId="77777777" w:rsidR="00C50C28" w:rsidRPr="00C50C28" w:rsidRDefault="00C50C28" w:rsidP="00C50C28">
            <w:pPr>
              <w:widowControl w:val="0"/>
              <w:jc w:val="both"/>
              <w:rPr>
                <w:snapToGrid w:val="0"/>
                <w:szCs w:val="24"/>
                <w:lang w:eastAsia="lt-LT"/>
              </w:rPr>
            </w:pPr>
            <w:r w:rsidRPr="00C50C28">
              <w:rPr>
                <w:snapToGrid w:val="0"/>
                <w:szCs w:val="24"/>
                <w:lang w:eastAsia="lt-LT"/>
              </w:rPr>
              <w:t>Stebėsena tęsiama</w:t>
            </w:r>
          </w:p>
        </w:tc>
      </w:tr>
      <w:tr w:rsidR="00C50C28" w:rsidRPr="00C50C28" w14:paraId="6CFF1C11" w14:textId="77777777" w:rsidTr="009E0638">
        <w:tc>
          <w:tcPr>
            <w:tcW w:w="3539" w:type="dxa"/>
            <w:vMerge/>
          </w:tcPr>
          <w:p w14:paraId="7887D6D6" w14:textId="77777777" w:rsidR="00C50C28" w:rsidRPr="00C50C28" w:rsidRDefault="00C50C28" w:rsidP="00C50C28">
            <w:pPr>
              <w:widowControl w:val="0"/>
              <w:tabs>
                <w:tab w:val="left" w:pos="600"/>
              </w:tabs>
              <w:jc w:val="both"/>
              <w:rPr>
                <w:snapToGrid w:val="0"/>
                <w:szCs w:val="24"/>
                <w:lang w:eastAsia="lt-LT"/>
              </w:rPr>
            </w:pPr>
          </w:p>
        </w:tc>
        <w:tc>
          <w:tcPr>
            <w:tcW w:w="3544" w:type="dxa"/>
            <w:vMerge/>
          </w:tcPr>
          <w:p w14:paraId="0E49DA37" w14:textId="77777777" w:rsidR="00C50C28" w:rsidRPr="00C50C28" w:rsidRDefault="00C50C28" w:rsidP="00C50C28">
            <w:pPr>
              <w:widowControl w:val="0"/>
              <w:jc w:val="both"/>
              <w:rPr>
                <w:snapToGrid w:val="0"/>
                <w:szCs w:val="24"/>
                <w:lang w:eastAsia="lt-LT"/>
              </w:rPr>
            </w:pPr>
          </w:p>
        </w:tc>
        <w:tc>
          <w:tcPr>
            <w:tcW w:w="3827" w:type="dxa"/>
          </w:tcPr>
          <w:p w14:paraId="424516DE"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6F8B26E6" w14:textId="77777777" w:rsidR="00C50C28" w:rsidRPr="00C50C28" w:rsidRDefault="00C50C28" w:rsidP="00C50C28">
            <w:pPr>
              <w:widowControl w:val="0"/>
              <w:jc w:val="both"/>
              <w:rPr>
                <w:bCs/>
                <w:szCs w:val="24"/>
                <w:lang w:eastAsia="lt-LT"/>
              </w:rPr>
            </w:pPr>
            <w:r w:rsidRPr="00C50C28">
              <w:rPr>
                <w:bCs/>
                <w:szCs w:val="24"/>
                <w:lang w:eastAsia="lt-LT"/>
              </w:rPr>
              <w:t>Iki šiol nebuvo VLK prašymo</w:t>
            </w:r>
          </w:p>
          <w:p w14:paraId="4860471B" w14:textId="77777777" w:rsidR="00C50C28" w:rsidRPr="00C50C28" w:rsidRDefault="00C50C28" w:rsidP="00C50C28">
            <w:pPr>
              <w:widowControl w:val="0"/>
              <w:jc w:val="both"/>
              <w:rPr>
                <w:bCs/>
                <w:szCs w:val="24"/>
                <w:lang w:eastAsia="lt-LT"/>
              </w:rPr>
            </w:pPr>
            <w:r w:rsidRPr="00C50C28">
              <w:rPr>
                <w:bCs/>
                <w:szCs w:val="24"/>
                <w:lang w:eastAsia="lt-LT"/>
              </w:rPr>
              <w:t>deleguoti ligoninės gydytoją</w:t>
            </w:r>
          </w:p>
          <w:p w14:paraId="3094B2E6" w14:textId="77777777" w:rsidR="00C50C28" w:rsidRPr="00C50C28" w:rsidRDefault="00C50C28" w:rsidP="00C50C28">
            <w:pPr>
              <w:widowControl w:val="0"/>
              <w:jc w:val="both"/>
              <w:rPr>
                <w:b/>
                <w:bCs/>
                <w:szCs w:val="24"/>
                <w:lang w:eastAsia="lt-LT"/>
              </w:rPr>
            </w:pPr>
            <w:r w:rsidRPr="00C50C28">
              <w:rPr>
                <w:bCs/>
                <w:szCs w:val="24"/>
                <w:lang w:eastAsia="lt-LT"/>
              </w:rPr>
              <w:t>ekspertiniam darbui.</w:t>
            </w:r>
          </w:p>
        </w:tc>
        <w:tc>
          <w:tcPr>
            <w:tcW w:w="3827" w:type="dxa"/>
          </w:tcPr>
          <w:p w14:paraId="539FDE19"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371835EE" w14:textId="77777777" w:rsidR="00C50C28" w:rsidRPr="00C50C28" w:rsidRDefault="00C50C28" w:rsidP="00C50C28">
            <w:pPr>
              <w:jc w:val="both"/>
              <w:rPr>
                <w:b/>
                <w:snapToGrid w:val="0"/>
                <w:color w:val="00B050"/>
                <w:szCs w:val="24"/>
                <w:lang w:eastAsia="lt-LT"/>
              </w:rPr>
            </w:pPr>
            <w:r w:rsidRPr="00C50C28">
              <w:rPr>
                <w:b/>
                <w:snapToGrid w:val="0"/>
                <w:color w:val="00B050"/>
                <w:szCs w:val="24"/>
                <w:lang w:eastAsia="lt-LT"/>
              </w:rPr>
              <w:t>Įgyvendinta</w:t>
            </w:r>
          </w:p>
          <w:p w14:paraId="36D9C4ED" w14:textId="77777777" w:rsidR="00C50C28" w:rsidRPr="00C50C28" w:rsidRDefault="00C50C28" w:rsidP="00C50C28">
            <w:pPr>
              <w:jc w:val="both"/>
              <w:rPr>
                <w:snapToGrid w:val="0"/>
                <w:szCs w:val="24"/>
                <w:lang w:eastAsia="lt-LT"/>
              </w:rPr>
            </w:pPr>
            <w:r w:rsidRPr="00C50C28">
              <w:rPr>
                <w:snapToGrid w:val="0"/>
                <w:szCs w:val="24"/>
                <w:lang w:eastAsia="lt-LT"/>
              </w:rPr>
              <w:t xml:space="preserve">VLK direktoriaus 2022 m. spalio 11 d. įsakymu Nr. 1K-300 patvirtintas naujos redakcijos Centralizuotai </w:t>
            </w:r>
            <w:r w:rsidRPr="00C50C28">
              <w:rPr>
                <w:snapToGrid w:val="0"/>
                <w:szCs w:val="24"/>
                <w:lang w:eastAsia="lt-LT"/>
              </w:rPr>
              <w:lastRenderedPageBreak/>
              <w:t xml:space="preserve">apmokamų vaistinių preparatų ir medicinos pagalbos priemonių specifikacijų rengimo bei šių preparatų ir priemonių tiekėjų pateiktų pasiūlymų vertinimo tvarkos aprašas  (toliau – Tvarkos aprašas). </w:t>
            </w:r>
          </w:p>
          <w:p w14:paraId="5B648D4A" w14:textId="77777777" w:rsidR="00C50C28" w:rsidRPr="00C50C28" w:rsidRDefault="00C50C28" w:rsidP="00C50C28">
            <w:pPr>
              <w:jc w:val="both"/>
              <w:rPr>
                <w:szCs w:val="24"/>
                <w:lang w:eastAsia="lt-LT"/>
              </w:rPr>
            </w:pPr>
            <w:r w:rsidRPr="00C50C28">
              <w:rPr>
                <w:szCs w:val="24"/>
                <w:lang w:eastAsia="lt-LT"/>
              </w:rPr>
              <w:t xml:space="preserve">Tvarkos aprašo 15 ir 16 punktuose nustatyti gydytojams ekspertams keliami </w:t>
            </w:r>
            <w:r w:rsidRPr="00C50C28">
              <w:rPr>
                <w:snapToGrid w:val="0"/>
                <w:szCs w:val="24"/>
                <w:lang w:eastAsia="lt-LT"/>
              </w:rPr>
              <w:t xml:space="preserve">kvalifikacijos ir patirties reikalavimai bei draudimas skirti gydytojus, kurie </w:t>
            </w:r>
            <w:r w:rsidRPr="00C50C28">
              <w:rPr>
                <w:color w:val="000000"/>
                <w:szCs w:val="24"/>
                <w:lang w:eastAsia="lt-LT"/>
              </w:rPr>
              <w:t>paskutiniais praėjusiais kalendoriniais metais buvo gydytojus vienijančių visuomeninių organizacijų vadovais ar valdybos nariais ir yra susiję tarpusavio pavaldumo ryšiais</w:t>
            </w:r>
            <w:r w:rsidRPr="00C50C28">
              <w:rPr>
                <w:szCs w:val="24"/>
                <w:lang w:eastAsia="lt-LT"/>
              </w:rPr>
              <w:t>.</w:t>
            </w:r>
          </w:p>
          <w:p w14:paraId="3B8D3DE1" w14:textId="77777777" w:rsidR="00C50C28" w:rsidRPr="00C50C28" w:rsidRDefault="00C50C28" w:rsidP="00C50C28">
            <w:pPr>
              <w:jc w:val="both"/>
              <w:rPr>
                <w:szCs w:val="24"/>
                <w:lang w:eastAsia="lt-LT"/>
              </w:rPr>
            </w:pPr>
            <w:r w:rsidRPr="00C50C28">
              <w:rPr>
                <w:szCs w:val="24"/>
                <w:lang w:eastAsia="lt-LT"/>
              </w:rPr>
              <w:t>VLK neprašė KLUL deleguoti gydytojų ekspertų į komisiją, tačiau dėl atsitiktinio delegavimo į komisiją pobūdžio tęsti šio pasiūlymo įgyvendinimo KLUL stebėseną netikslinga.</w:t>
            </w:r>
          </w:p>
          <w:p w14:paraId="348BAD17" w14:textId="77777777" w:rsidR="00C50C28" w:rsidRPr="00C50C28" w:rsidRDefault="00C50C28" w:rsidP="00C50C28">
            <w:pPr>
              <w:jc w:val="both"/>
              <w:rPr>
                <w:szCs w:val="24"/>
                <w:lang w:eastAsia="lt-LT"/>
              </w:rPr>
            </w:pPr>
            <w:r w:rsidRPr="00C50C28">
              <w:rPr>
                <w:szCs w:val="24"/>
                <w:lang w:eastAsia="lt-LT"/>
              </w:rPr>
              <w:t xml:space="preserve">Siūlome KLUL </w:t>
            </w:r>
            <w:r w:rsidRPr="00C50C28">
              <w:rPr>
                <w:snapToGrid w:val="0"/>
                <w:color w:val="000000"/>
                <w:szCs w:val="24"/>
                <w:lang w:eastAsia="lt-LT"/>
              </w:rPr>
              <w:t>atsižvelgti į šį STT pasiūlymą,</w:t>
            </w:r>
            <w:r w:rsidRPr="00C50C28">
              <w:rPr>
                <w:szCs w:val="24"/>
                <w:lang w:eastAsia="lt-LT"/>
              </w:rPr>
              <w:t xml:space="preserve"> ir deleguojant</w:t>
            </w:r>
            <w:r w:rsidRPr="00C50C28">
              <w:rPr>
                <w:snapToGrid w:val="0"/>
                <w:color w:val="000000"/>
                <w:szCs w:val="24"/>
                <w:lang w:eastAsia="lt-LT"/>
              </w:rPr>
              <w:t xml:space="preserve"> KKL gydytojus ekspertus dalyvauti viešuosiuose pirkimuose ir į įvairias SAM ar VLK sudaromas komisijas, </w:t>
            </w:r>
            <w:r w:rsidRPr="00C50C28">
              <w:rPr>
                <w:szCs w:val="24"/>
                <w:lang w:eastAsia="lt-LT"/>
              </w:rPr>
              <w:t>pasinaudojant RVUL taikoma gerąją praktiką,</w:t>
            </w:r>
            <w:r w:rsidRPr="00C50C28">
              <w:rPr>
                <w:snapToGrid w:val="0"/>
                <w:color w:val="000000"/>
                <w:szCs w:val="24"/>
                <w:lang w:eastAsia="lt-LT"/>
              </w:rPr>
              <w:t xml:space="preserve"> patikrinti jų atitiktį Tvarkos apraše nustatytiems kriterijams, nešališkumą ir ryšius ne tik su galimais potencialiais medicinos priemonių tiekėjais, bet ir su šių priemonių gamintojais, jų atstovais ir </w:t>
            </w:r>
            <w:r w:rsidRPr="00C50C28">
              <w:rPr>
                <w:snapToGrid w:val="0"/>
                <w:color w:val="000000"/>
                <w:szCs w:val="24"/>
                <w:lang w:eastAsia="lt-LT"/>
              </w:rPr>
              <w:lastRenderedPageBreak/>
              <w:t>su atitinkamomis gydytojų profesinėmis asociacijomis.</w:t>
            </w:r>
          </w:p>
          <w:p w14:paraId="6D7C28B7" w14:textId="77777777" w:rsidR="00C50C28" w:rsidRPr="00C50C28" w:rsidRDefault="00C50C28" w:rsidP="00C50C28">
            <w:pPr>
              <w:jc w:val="both"/>
              <w:rPr>
                <w:szCs w:val="24"/>
                <w:lang w:eastAsia="lt-LT"/>
              </w:rPr>
            </w:pPr>
          </w:p>
          <w:p w14:paraId="4F32DAC2" w14:textId="77777777" w:rsidR="00C50C28" w:rsidRPr="00C50C28" w:rsidRDefault="00C50C28" w:rsidP="00C50C28">
            <w:pPr>
              <w:jc w:val="both"/>
              <w:rPr>
                <w:szCs w:val="24"/>
                <w:lang w:eastAsia="lt-LT"/>
              </w:rPr>
            </w:pPr>
            <w:r w:rsidRPr="00C50C28">
              <w:rPr>
                <w:szCs w:val="24"/>
                <w:lang w:eastAsia="lt-LT"/>
              </w:rPr>
              <w:t>Stebėsena baigta.</w:t>
            </w:r>
          </w:p>
        </w:tc>
      </w:tr>
      <w:tr w:rsidR="00C50C28" w:rsidRPr="00C50C28" w14:paraId="66AE02A7" w14:textId="77777777" w:rsidTr="009E0638">
        <w:tc>
          <w:tcPr>
            <w:tcW w:w="3539" w:type="dxa"/>
            <w:vMerge w:val="restart"/>
          </w:tcPr>
          <w:p w14:paraId="11E49EFB" w14:textId="77777777" w:rsidR="00C50C28" w:rsidRPr="00C50C28" w:rsidRDefault="00C50C28" w:rsidP="00C50C28">
            <w:pPr>
              <w:widowControl w:val="0"/>
              <w:tabs>
                <w:tab w:val="left" w:pos="731"/>
              </w:tabs>
              <w:jc w:val="both"/>
              <w:rPr>
                <w:snapToGrid w:val="0"/>
                <w:szCs w:val="24"/>
                <w:lang w:eastAsia="lt-LT"/>
              </w:rPr>
            </w:pPr>
            <w:r w:rsidRPr="00C50C28">
              <w:rPr>
                <w:snapToGrid w:val="0"/>
                <w:szCs w:val="24"/>
                <w:lang w:eastAsia="lt-LT"/>
              </w:rPr>
              <w:lastRenderedPageBreak/>
              <w:t>2.1.2.</w:t>
            </w:r>
            <w:r w:rsidRPr="00C50C28">
              <w:rPr>
                <w:snapToGrid w:val="0"/>
                <w:szCs w:val="24"/>
                <w:lang w:eastAsia="lt-LT"/>
              </w:rPr>
              <w:tab/>
              <w:t>Tendencija daugiausiai kompensuojamų endoprotezų skiriančiose ASPĮ skirti tam tikro, bet skirtingose ASPĮ besiskiriančio, klubo ar kelio centralizuotai perkamų pirminių (standartinių) endoprotezų modelius, kuriuos tiekia su ASPĮ padalinių vadovais ir dirbančiais gydytojais tiesioginių ar netiesioginių finansinių ryšių turintis tiekėjas, nurodo tam tikrų tiekėjų galimo protegavimo didžiosiose ASPĮ riziką (motyvai nurodyti išvados 4.2 skirsnyje).</w:t>
            </w:r>
          </w:p>
        </w:tc>
        <w:tc>
          <w:tcPr>
            <w:tcW w:w="3544" w:type="dxa"/>
            <w:vMerge w:val="restart"/>
          </w:tcPr>
          <w:p w14:paraId="0AB3BEC1" w14:textId="77777777" w:rsidR="00C50C28" w:rsidRPr="00C50C28" w:rsidRDefault="00C50C28" w:rsidP="00C50C28">
            <w:pPr>
              <w:widowControl w:val="0"/>
              <w:jc w:val="both"/>
              <w:rPr>
                <w:snapToGrid w:val="0"/>
                <w:szCs w:val="24"/>
                <w:lang w:eastAsia="lt-LT"/>
              </w:rPr>
            </w:pPr>
            <w:r w:rsidRPr="00C50C28">
              <w:rPr>
                <w:snapToGrid w:val="0"/>
                <w:szCs w:val="24"/>
                <w:lang w:eastAsia="lt-LT"/>
              </w:rPr>
              <w:t>2.4. Užtikrinti, kad ASPĮ gydytojai ortopedai traumatologai pacientams, atsižvelgdami į apdraustojo ligos patologiją, jo amžių ir VLK nustatytus centralizuotai perkamų pirminių (standartinių) endoprotezų panaudojimo kriterijus (VLK patvirtinus šiuos kriterijus), skirtų pacientui tinkamiausią atitinkamos specifikacijos endoprotezą, o skirdami centralizuotai perkamą endoprotezą, neatitinkantį nustatytų kriterijų, motyvuotų kitokio centralizuotai perkamo endoprotezo paskyrimą (išvados 5 skyriaus 2.1.2 p. nurodyta pastaba).</w:t>
            </w:r>
          </w:p>
        </w:tc>
        <w:tc>
          <w:tcPr>
            <w:tcW w:w="3827" w:type="dxa"/>
          </w:tcPr>
          <w:p w14:paraId="2CA9B51A" w14:textId="77777777" w:rsidR="00C50C28" w:rsidRPr="00C50C28" w:rsidRDefault="00C50C28" w:rsidP="00C50C28">
            <w:pPr>
              <w:widowControl w:val="0"/>
              <w:jc w:val="both"/>
              <w:rPr>
                <w:b/>
                <w:bCs/>
                <w:szCs w:val="24"/>
                <w:lang w:eastAsia="lt-LT"/>
              </w:rPr>
            </w:pPr>
            <w:r w:rsidRPr="00C50C28">
              <w:rPr>
                <w:b/>
                <w:bCs/>
                <w:szCs w:val="24"/>
                <w:lang w:eastAsia="lt-LT"/>
              </w:rPr>
              <w:t xml:space="preserve">2022-05-25 </w:t>
            </w:r>
          </w:p>
          <w:p w14:paraId="059568C3" w14:textId="77777777" w:rsidR="00C50C28" w:rsidRPr="00C50C28" w:rsidRDefault="00C50C28" w:rsidP="00C50C28">
            <w:pPr>
              <w:widowControl w:val="0"/>
              <w:jc w:val="both"/>
              <w:rPr>
                <w:snapToGrid w:val="0"/>
                <w:szCs w:val="24"/>
                <w:lang w:eastAsia="lt-LT"/>
              </w:rPr>
            </w:pPr>
            <w:r w:rsidRPr="00C50C28">
              <w:rPr>
                <w:snapToGrid w:val="0"/>
                <w:szCs w:val="24"/>
                <w:lang w:eastAsia="lt-LT"/>
              </w:rPr>
              <w:t>KLUL interneto svetainėje 2022-05-23 paskelbtos prevencines priemones, atsižvelgiant į STT atliktos korupcinės rizikos analizę sąnarių endoprotezavimo veiklos srityse (toliau – Prevencinės priemonės), kuriose numatyta, patvirtinti ligoninėje tvarką (algoritmą) pagal kurią gydytojai ortopedai traumatologai skirtų pacientams tinkamus endoprotezus, atsižvelgiant į jų patologiją, amžių ir kitus VLK nustatytus kriterijus. O skiriant centralizuotai perkamą endoprotezą, neatitinkantį šių kriterijų, motyvuotų kitokio endoprotezo skyrimą.</w:t>
            </w:r>
          </w:p>
        </w:tc>
        <w:tc>
          <w:tcPr>
            <w:tcW w:w="3827" w:type="dxa"/>
          </w:tcPr>
          <w:p w14:paraId="4FE0AACD" w14:textId="77777777" w:rsidR="00C50C28" w:rsidRPr="00C50C28" w:rsidRDefault="00C50C28" w:rsidP="00C50C28">
            <w:pPr>
              <w:widowControl w:val="0"/>
              <w:jc w:val="both"/>
              <w:rPr>
                <w:b/>
                <w:bCs/>
                <w:szCs w:val="24"/>
                <w:lang w:eastAsia="lt-LT"/>
              </w:rPr>
            </w:pPr>
            <w:r w:rsidRPr="00C50C28">
              <w:rPr>
                <w:b/>
                <w:bCs/>
                <w:szCs w:val="24"/>
                <w:lang w:eastAsia="lt-LT"/>
              </w:rPr>
              <w:t xml:space="preserve">2022-06-09 </w:t>
            </w:r>
          </w:p>
          <w:p w14:paraId="79054985" w14:textId="77777777" w:rsidR="00C50C28" w:rsidRPr="00C50C28" w:rsidRDefault="00C50C28" w:rsidP="00C50C28">
            <w:pPr>
              <w:rPr>
                <w:b/>
                <w:color w:val="00B0F0"/>
                <w:szCs w:val="24"/>
                <w:lang w:eastAsia="lt-LT"/>
              </w:rPr>
            </w:pPr>
            <w:r w:rsidRPr="00C50C28">
              <w:rPr>
                <w:b/>
                <w:color w:val="00B0F0"/>
                <w:szCs w:val="24"/>
                <w:lang w:eastAsia="lt-LT"/>
              </w:rPr>
              <w:t>Planuojama įgyvendinti</w:t>
            </w:r>
          </w:p>
          <w:p w14:paraId="5AE2655B" w14:textId="77777777" w:rsidR="00C50C28" w:rsidRPr="00C50C28" w:rsidRDefault="00C50C28" w:rsidP="00C50C28">
            <w:pPr>
              <w:widowControl w:val="0"/>
              <w:jc w:val="both"/>
              <w:rPr>
                <w:snapToGrid w:val="0"/>
                <w:szCs w:val="24"/>
                <w:lang w:eastAsia="lt-LT"/>
              </w:rPr>
            </w:pPr>
            <w:r w:rsidRPr="00C50C28">
              <w:rPr>
                <w:snapToGrid w:val="0"/>
                <w:szCs w:val="24"/>
                <w:lang w:eastAsia="lt-LT"/>
              </w:rPr>
              <w:t>Prevencinėse priemonėse nurodytus veiksmus siūlome įtraukti į KLUL vadovo sprendimu patvirtintą korupcijos prevencijos veiksmų planą</w:t>
            </w:r>
            <w:r w:rsidRPr="00C50C28">
              <w:rPr>
                <w:snapToGrid w:val="0"/>
                <w:szCs w:val="24"/>
                <w:vertAlign w:val="superscript"/>
                <w:lang w:eastAsia="lt-LT"/>
              </w:rPr>
              <w:footnoteReference w:id="1"/>
            </w:r>
            <w:r w:rsidRPr="00C50C28">
              <w:rPr>
                <w:snapToGrid w:val="0"/>
                <w:szCs w:val="24"/>
                <w:lang w:eastAsia="lt-LT"/>
              </w:rPr>
              <w:t xml:space="preserve"> ir numatyti kiekvieno veiksmo įgyvendinimo terminus. </w:t>
            </w:r>
          </w:p>
          <w:p w14:paraId="3A573F95" w14:textId="77777777" w:rsidR="00C50C28" w:rsidRPr="00C50C28" w:rsidRDefault="00C50C28" w:rsidP="00C50C28">
            <w:pPr>
              <w:widowControl w:val="0"/>
              <w:jc w:val="both"/>
              <w:rPr>
                <w:snapToGrid w:val="0"/>
                <w:szCs w:val="24"/>
                <w:lang w:eastAsia="lt-LT"/>
              </w:rPr>
            </w:pPr>
            <w:r w:rsidRPr="00C50C28">
              <w:rPr>
                <w:snapToGrid w:val="0"/>
                <w:szCs w:val="24"/>
                <w:lang w:eastAsia="lt-LT"/>
              </w:rPr>
              <w:t>Šio pasiūlymo įgyvendinimas priklausys nuo VLK pateikto pasiūlymo nustatyti centralizuotai perkamų endoprotezų skyrimo (panaudojimo kriterijus) įgyvendinimo.</w:t>
            </w:r>
          </w:p>
          <w:p w14:paraId="402F03B5" w14:textId="77777777" w:rsidR="00C50C28" w:rsidRPr="00C50C28" w:rsidRDefault="00C50C28" w:rsidP="00C50C28">
            <w:pPr>
              <w:widowControl w:val="0"/>
              <w:rPr>
                <w:snapToGrid w:val="0"/>
                <w:szCs w:val="24"/>
                <w:lang w:eastAsia="lt-LT"/>
              </w:rPr>
            </w:pPr>
            <w:r w:rsidRPr="00C50C28">
              <w:rPr>
                <w:snapToGrid w:val="0"/>
                <w:szCs w:val="24"/>
                <w:lang w:eastAsia="lt-LT"/>
              </w:rPr>
              <w:t>Stebėsena tęsiama</w:t>
            </w:r>
          </w:p>
        </w:tc>
      </w:tr>
      <w:tr w:rsidR="00C50C28" w:rsidRPr="00C50C28" w14:paraId="72ACEB0F" w14:textId="77777777" w:rsidTr="009E0638">
        <w:tc>
          <w:tcPr>
            <w:tcW w:w="3539" w:type="dxa"/>
            <w:vMerge/>
          </w:tcPr>
          <w:p w14:paraId="3CA8C0F2" w14:textId="77777777" w:rsidR="00C50C28" w:rsidRPr="00C50C28" w:rsidRDefault="00C50C28" w:rsidP="00C50C28">
            <w:pPr>
              <w:widowControl w:val="0"/>
              <w:tabs>
                <w:tab w:val="left" w:pos="731"/>
              </w:tabs>
              <w:jc w:val="both"/>
              <w:rPr>
                <w:snapToGrid w:val="0"/>
                <w:szCs w:val="24"/>
                <w:lang w:eastAsia="lt-LT"/>
              </w:rPr>
            </w:pPr>
          </w:p>
        </w:tc>
        <w:tc>
          <w:tcPr>
            <w:tcW w:w="3544" w:type="dxa"/>
            <w:vMerge/>
          </w:tcPr>
          <w:p w14:paraId="30FEDC8E" w14:textId="77777777" w:rsidR="00C50C28" w:rsidRPr="00C50C28" w:rsidRDefault="00C50C28" w:rsidP="00C50C28">
            <w:pPr>
              <w:widowControl w:val="0"/>
              <w:jc w:val="both"/>
              <w:rPr>
                <w:snapToGrid w:val="0"/>
                <w:szCs w:val="24"/>
                <w:lang w:eastAsia="lt-LT"/>
              </w:rPr>
            </w:pPr>
          </w:p>
        </w:tc>
        <w:tc>
          <w:tcPr>
            <w:tcW w:w="3827" w:type="dxa"/>
          </w:tcPr>
          <w:p w14:paraId="3C6008DB"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4B408828" w14:textId="77777777" w:rsidR="00C50C28" w:rsidRPr="00C50C28" w:rsidRDefault="00C50C28" w:rsidP="00C50C28">
            <w:pPr>
              <w:widowControl w:val="0"/>
              <w:jc w:val="both"/>
              <w:rPr>
                <w:bCs/>
                <w:szCs w:val="24"/>
                <w:lang w:eastAsia="lt-LT"/>
              </w:rPr>
            </w:pPr>
            <w:r w:rsidRPr="00C50C28">
              <w:rPr>
                <w:bCs/>
                <w:szCs w:val="24"/>
                <w:lang w:eastAsia="lt-LT"/>
              </w:rPr>
              <w:t>Vadovaujamės LR SAM 2012-08-30 įsakymo Nr. V-180 „Dėl sąnarių endoprotezavimo ir išlaidų sąnarių endoprotezams įsigyti kompensavimo tvarkos aprašo patvirtinimo“ 2023-02-02 aktualia redakcija.</w:t>
            </w:r>
          </w:p>
        </w:tc>
        <w:tc>
          <w:tcPr>
            <w:tcW w:w="3827" w:type="dxa"/>
          </w:tcPr>
          <w:p w14:paraId="05B45521"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72328A5C" w14:textId="77777777" w:rsidR="00C50C28" w:rsidRPr="00C50C28" w:rsidRDefault="00C50C28" w:rsidP="00C50C28">
            <w:pPr>
              <w:jc w:val="both"/>
              <w:rPr>
                <w:b/>
                <w:snapToGrid w:val="0"/>
                <w:color w:val="00B050"/>
                <w:szCs w:val="24"/>
                <w:lang w:eastAsia="lt-LT"/>
              </w:rPr>
            </w:pPr>
            <w:r w:rsidRPr="00C50C28">
              <w:rPr>
                <w:b/>
                <w:snapToGrid w:val="0"/>
                <w:color w:val="00B050"/>
                <w:szCs w:val="24"/>
                <w:lang w:eastAsia="lt-LT"/>
              </w:rPr>
              <w:t>Įgyvendinta</w:t>
            </w:r>
          </w:p>
          <w:p w14:paraId="17F2CE2E" w14:textId="77777777" w:rsidR="00C50C28" w:rsidRPr="00C50C28" w:rsidRDefault="00C50C28" w:rsidP="00C50C28">
            <w:pPr>
              <w:jc w:val="both"/>
              <w:rPr>
                <w:snapToGrid w:val="0"/>
                <w:szCs w:val="24"/>
                <w:lang w:eastAsia="lt-LT"/>
              </w:rPr>
            </w:pPr>
            <w:r w:rsidRPr="00C50C28">
              <w:rPr>
                <w:snapToGrid w:val="0"/>
                <w:szCs w:val="24"/>
                <w:lang w:eastAsia="lt-LT"/>
              </w:rPr>
              <w:t xml:space="preserve">Sveikatos apsaugos ministro 2023 m. vasario 2 d. įsakymu Nr. V-143 buvo priimtas Sąnarių endoprotezavimo ir išlaidų sąnarių endoprotezams įsigyti kompensavimo tvarkos aprašo (toliau – Aprašas) pakeitimas. Aprašo pakeitimai įsigaliojo nuo 2023-02-03. </w:t>
            </w:r>
          </w:p>
          <w:p w14:paraId="58DC7DC5" w14:textId="77777777" w:rsidR="00C50C28" w:rsidRPr="00C50C28" w:rsidRDefault="00C50C28" w:rsidP="00C50C28">
            <w:pPr>
              <w:jc w:val="both"/>
              <w:rPr>
                <w:i/>
                <w:snapToGrid w:val="0"/>
                <w:szCs w:val="24"/>
                <w:lang w:eastAsia="lt-LT"/>
              </w:rPr>
            </w:pPr>
            <w:r w:rsidRPr="00C50C28">
              <w:rPr>
                <w:snapToGrid w:val="0"/>
                <w:szCs w:val="24"/>
                <w:lang w:eastAsia="lt-LT"/>
              </w:rPr>
              <w:t>1. Aprašo 12.6</w:t>
            </w:r>
            <w:r w:rsidRPr="00C50C28">
              <w:rPr>
                <w:snapToGrid w:val="0"/>
                <w:szCs w:val="24"/>
                <w:vertAlign w:val="superscript"/>
                <w:lang w:eastAsia="lt-LT"/>
              </w:rPr>
              <w:t>1</w:t>
            </w:r>
            <w:r w:rsidRPr="00C50C28">
              <w:rPr>
                <w:snapToGrid w:val="0"/>
                <w:szCs w:val="24"/>
                <w:lang w:eastAsia="lt-LT"/>
              </w:rPr>
              <w:t xml:space="preserve"> papunktyje nustatyta, kad </w:t>
            </w:r>
            <w:r w:rsidRPr="00C50C28">
              <w:rPr>
                <w:color w:val="000000"/>
                <w:szCs w:val="24"/>
                <w:lang w:eastAsia="lt-LT"/>
              </w:rPr>
              <w:t xml:space="preserve">gydytojas ortopedas </w:t>
            </w:r>
            <w:r w:rsidRPr="00C50C28">
              <w:rPr>
                <w:color w:val="000000"/>
                <w:szCs w:val="24"/>
                <w:lang w:eastAsia="lt-LT"/>
              </w:rPr>
              <w:lastRenderedPageBreak/>
              <w:t>traumatologas užpildo Prašymo skirti kompensuojamąjį sąnario endoprotezą formą (1 priedas), kurioje nurodoma</w:t>
            </w:r>
            <w:r w:rsidRPr="00C50C28">
              <w:rPr>
                <w:snapToGrid w:val="0"/>
                <w:szCs w:val="24"/>
                <w:lang w:eastAsia="lt-LT"/>
              </w:rPr>
              <w:t xml:space="preserve"> apdraustojo anatominė-klinikinė būklė ir sąnario endoprotezo tipas, parinktas pagal Aprašo 5 priede įvardytas anatomines-klinikines būkles</w:t>
            </w:r>
            <w:r w:rsidRPr="00C50C28">
              <w:rPr>
                <w:i/>
                <w:snapToGrid w:val="0"/>
                <w:szCs w:val="24"/>
                <w:lang w:eastAsia="lt-LT"/>
              </w:rPr>
              <w:t>.</w:t>
            </w:r>
          </w:p>
          <w:p w14:paraId="1DD1DE36" w14:textId="77777777" w:rsidR="00C50C28" w:rsidRPr="00C50C28" w:rsidRDefault="00C50C28" w:rsidP="00C50C28">
            <w:pPr>
              <w:jc w:val="both"/>
              <w:rPr>
                <w:snapToGrid w:val="0"/>
                <w:szCs w:val="24"/>
                <w:lang w:eastAsia="lt-LT"/>
              </w:rPr>
            </w:pPr>
            <w:r w:rsidRPr="00C50C28">
              <w:rPr>
                <w:snapToGrid w:val="0"/>
                <w:szCs w:val="24"/>
                <w:lang w:eastAsia="lt-LT"/>
              </w:rPr>
              <w:t xml:space="preserve">2. Aprašas papildytas nauju 5 priedu „Privalomojo sveikatos draudimo fondo biudžeto lėšomis kompensuojamų ir centralizuotai perkamų standartinių sąnarių endoprotezų skyrimo kriterijai“, kuriame </w:t>
            </w:r>
            <w:r w:rsidRPr="00C50C28">
              <w:rPr>
                <w:color w:val="000000"/>
                <w:szCs w:val="24"/>
                <w:lang w:eastAsia="lt-LT"/>
              </w:rPr>
              <w:t>patvirtintos paciento anatominės-klinikines būklės ir kodai, pagal kuriuos turi būti parenkamas VLK centralizuotai įsigyjamas standartinis sąnario endoprotezas.</w:t>
            </w:r>
          </w:p>
          <w:p w14:paraId="174689D2" w14:textId="77777777" w:rsidR="00C50C28" w:rsidRPr="00C50C28" w:rsidRDefault="00C50C28" w:rsidP="00C50C28">
            <w:pPr>
              <w:jc w:val="both"/>
              <w:rPr>
                <w:szCs w:val="24"/>
                <w:lang w:eastAsia="lt-LT"/>
              </w:rPr>
            </w:pPr>
            <w:r w:rsidRPr="00C50C28">
              <w:rPr>
                <w:szCs w:val="24"/>
                <w:lang w:eastAsia="lt-LT"/>
              </w:rPr>
              <w:t>Pakeitimai paskelbti teisės aktų registre, todėl jie tiesiogiai taikomi KLUL.</w:t>
            </w:r>
          </w:p>
          <w:p w14:paraId="08220CB7" w14:textId="77777777" w:rsidR="00C50C28" w:rsidRPr="00C50C28" w:rsidRDefault="00C50C28" w:rsidP="00C50C28">
            <w:pPr>
              <w:jc w:val="both"/>
              <w:rPr>
                <w:szCs w:val="24"/>
                <w:lang w:eastAsia="lt-LT"/>
              </w:rPr>
            </w:pPr>
            <w:r w:rsidRPr="00C50C28">
              <w:rPr>
                <w:szCs w:val="24"/>
                <w:lang w:eastAsia="lt-LT"/>
              </w:rPr>
              <w:t>Siūlome supažindinti asmeniškai kiekvieną KLUL gydytoją ortopedą traumatologą su naujais Aprašo reikalavimais ir pasinaudojant geruoju KL taikomos praktikos pavyzdžiu, periodiškai atlikti duomenų įrašymo į EVIS kontrolę.</w:t>
            </w:r>
          </w:p>
          <w:p w14:paraId="1D4E90A4" w14:textId="77777777" w:rsidR="00C50C28" w:rsidRPr="00C50C28" w:rsidRDefault="00C50C28" w:rsidP="00C50C28">
            <w:pPr>
              <w:jc w:val="both"/>
              <w:rPr>
                <w:szCs w:val="24"/>
                <w:lang w:eastAsia="lt-LT"/>
              </w:rPr>
            </w:pPr>
          </w:p>
          <w:p w14:paraId="6A0F93FB" w14:textId="77777777" w:rsidR="00C50C28" w:rsidRPr="00C50C28" w:rsidRDefault="00C50C28" w:rsidP="00C50C28">
            <w:pPr>
              <w:widowControl w:val="0"/>
              <w:jc w:val="both"/>
              <w:rPr>
                <w:bCs/>
                <w:szCs w:val="24"/>
                <w:lang w:eastAsia="lt-LT"/>
              </w:rPr>
            </w:pPr>
            <w:r w:rsidRPr="00C50C28">
              <w:rPr>
                <w:szCs w:val="24"/>
                <w:lang w:eastAsia="lt-LT"/>
              </w:rPr>
              <w:t>Stebėsena baigta.</w:t>
            </w:r>
          </w:p>
        </w:tc>
      </w:tr>
      <w:tr w:rsidR="00C50C28" w:rsidRPr="00C50C28" w14:paraId="09D0394B" w14:textId="77777777" w:rsidTr="009E0638">
        <w:tc>
          <w:tcPr>
            <w:tcW w:w="3539" w:type="dxa"/>
          </w:tcPr>
          <w:p w14:paraId="6EC28759" w14:textId="77777777" w:rsidR="00C50C28" w:rsidRPr="00C50C28" w:rsidRDefault="00C50C28" w:rsidP="00C50C28">
            <w:pPr>
              <w:widowControl w:val="0"/>
              <w:jc w:val="both"/>
              <w:rPr>
                <w:snapToGrid w:val="0"/>
                <w:szCs w:val="24"/>
                <w:lang w:eastAsia="lt-LT"/>
              </w:rPr>
            </w:pPr>
            <w:r w:rsidRPr="00C50C28">
              <w:rPr>
                <w:snapToGrid w:val="0"/>
                <w:szCs w:val="24"/>
                <w:lang w:eastAsia="lt-LT"/>
              </w:rPr>
              <w:lastRenderedPageBreak/>
              <w:t xml:space="preserve">2.1.2. Tendencija daugiausiai kompensuojamų endoprotezų </w:t>
            </w:r>
            <w:r w:rsidRPr="00C50C28">
              <w:rPr>
                <w:snapToGrid w:val="0"/>
                <w:szCs w:val="24"/>
                <w:lang w:eastAsia="lt-LT"/>
              </w:rPr>
              <w:lastRenderedPageBreak/>
              <w:t>skiriančiose ASPĮ skirti tam tikro, bet skirtingose ASPĮ besiskiriančio, klubo ar kelio centralizuotai perkamų pirminių (standartinių) endoprotezų modelius, kuriuos tiekia su ASPĮ padalinių vadovais ir dirbančiais gydytojais tiesioginių ar netiesioginių finansinių ryšių turintis tiekėjas, nurodo tam tikrų tiekėjų galimo protegavimo didžiosiose ASPĮ riziką.</w:t>
            </w:r>
          </w:p>
          <w:p w14:paraId="37CF4690" w14:textId="77777777" w:rsidR="00C50C28" w:rsidRPr="00C50C28" w:rsidRDefault="00C50C28" w:rsidP="00C50C28">
            <w:pPr>
              <w:widowControl w:val="0"/>
              <w:tabs>
                <w:tab w:val="left" w:pos="731"/>
              </w:tabs>
              <w:jc w:val="both"/>
              <w:rPr>
                <w:snapToGrid w:val="0"/>
                <w:szCs w:val="24"/>
                <w:lang w:eastAsia="lt-LT"/>
              </w:rPr>
            </w:pPr>
          </w:p>
        </w:tc>
        <w:tc>
          <w:tcPr>
            <w:tcW w:w="3544" w:type="dxa"/>
            <w:vMerge w:val="restart"/>
          </w:tcPr>
          <w:p w14:paraId="25D2C513" w14:textId="77777777" w:rsidR="00C50C28" w:rsidRPr="00C50C28" w:rsidRDefault="00C50C28" w:rsidP="00C50C28">
            <w:pPr>
              <w:widowControl w:val="0"/>
              <w:jc w:val="both"/>
              <w:rPr>
                <w:snapToGrid w:val="0"/>
                <w:szCs w:val="24"/>
                <w:lang w:eastAsia="lt-LT"/>
              </w:rPr>
            </w:pPr>
            <w:r w:rsidRPr="00C50C28">
              <w:rPr>
                <w:snapToGrid w:val="0"/>
                <w:szCs w:val="24"/>
                <w:lang w:eastAsia="lt-LT"/>
              </w:rPr>
              <w:lastRenderedPageBreak/>
              <w:t xml:space="preserve">2.5. Priminti ASPĮ sveikatos priežiūros specialistams, kurie </w:t>
            </w:r>
            <w:r w:rsidRPr="00C50C28">
              <w:rPr>
                <w:snapToGrid w:val="0"/>
                <w:szCs w:val="24"/>
                <w:lang w:eastAsia="lt-LT"/>
              </w:rPr>
              <w:lastRenderedPageBreak/>
              <w:t>skiria pacientams ar kitaip naudoja medicinos priemones, įsigytas iš PSDF biudžeto, pareigą deklaruoti savo privačius interesus, įskaitant dalyvavimą asociacijose ar organizacijose, vienijančiose sveikatos priežiūros specialistus, veikloje, jei jie ar jiems artimi asmenys yra šių organizacijų nariai, eina bet kokias pareigas šiose organizacijose arba yra sudarę sandorius (sudarytos autorinės, paslaugų teikimo, renginių išlaidų atlyginimo (kompensavimo) ir kt. sutartys) su šiomis organizacijomis, įskaitant individualios veiklos sandorius, kurių vertė didesnė negu 3 000 eurų (išvados 5 skyriaus 2.1.2 ir 2.1.3 p. nurodytos pastabos).</w:t>
            </w:r>
          </w:p>
        </w:tc>
        <w:tc>
          <w:tcPr>
            <w:tcW w:w="3827" w:type="dxa"/>
            <w:vMerge w:val="restart"/>
          </w:tcPr>
          <w:p w14:paraId="21DF3DAD" w14:textId="77777777" w:rsidR="00C50C28" w:rsidRPr="00C50C28" w:rsidRDefault="00C50C28" w:rsidP="00C50C28">
            <w:pPr>
              <w:widowControl w:val="0"/>
              <w:jc w:val="both"/>
              <w:rPr>
                <w:b/>
                <w:bCs/>
                <w:szCs w:val="24"/>
                <w:lang w:eastAsia="lt-LT"/>
              </w:rPr>
            </w:pPr>
            <w:r w:rsidRPr="00C50C28">
              <w:rPr>
                <w:b/>
                <w:bCs/>
                <w:szCs w:val="24"/>
                <w:lang w:eastAsia="lt-LT"/>
              </w:rPr>
              <w:lastRenderedPageBreak/>
              <w:t xml:space="preserve">2022-05-25 </w:t>
            </w:r>
          </w:p>
          <w:p w14:paraId="01C50E14" w14:textId="77777777" w:rsidR="00C50C28" w:rsidRDefault="00C50C28" w:rsidP="00C50C28">
            <w:pPr>
              <w:widowControl w:val="0"/>
              <w:jc w:val="both"/>
              <w:rPr>
                <w:snapToGrid w:val="0"/>
                <w:szCs w:val="24"/>
                <w:lang w:eastAsia="lt-LT"/>
              </w:rPr>
            </w:pPr>
            <w:r w:rsidRPr="00C50C28">
              <w:rPr>
                <w:snapToGrid w:val="0"/>
                <w:szCs w:val="24"/>
                <w:lang w:eastAsia="lt-LT"/>
              </w:rPr>
              <w:t xml:space="preserve">Prevencinėse priemonėse numatyta </w:t>
            </w:r>
            <w:r w:rsidRPr="00C50C28">
              <w:rPr>
                <w:snapToGrid w:val="0"/>
                <w:szCs w:val="24"/>
                <w:lang w:eastAsia="lt-LT"/>
              </w:rPr>
              <w:lastRenderedPageBreak/>
              <w:t>užtikrinti, kad visi gydytojai ortopedai traumatologai, kurie skiria pacientams ar kitaip naudoja medicinos priemones, įsigytas iš PSDF biudžeto, laiku deklaruotų savo privačius interesus, įskaitant dalyvavimą asociacijose ir organizacijose, vienijančiose sveikatos priežiūros specialistus, veikloje, jei jie ar jiems artimi asmenys yra šių organizacijų nariai, eina bet kokias pareigas šiose organizacijose arba yra sudarę sandorius (sudarytos autorinės, paslaugų teikimo, renginių išlaidų atlyginimo (kompensavimo) ir kt. sutartys) su šiomis organizacijomis, įskaitant individualios veiklos sandorius, kurių vertė didesnė negu 3000 eurų..</w:t>
            </w:r>
          </w:p>
          <w:p w14:paraId="0C4DCC2D" w14:textId="3208EBCE" w:rsidR="00B90F88" w:rsidRPr="00B90F88" w:rsidRDefault="00B90F88" w:rsidP="00C50C28">
            <w:pPr>
              <w:widowControl w:val="0"/>
              <w:jc w:val="both"/>
              <w:rPr>
                <w:b/>
                <w:bCs/>
                <w:snapToGrid w:val="0"/>
                <w:szCs w:val="24"/>
                <w:lang w:eastAsia="lt-LT"/>
              </w:rPr>
            </w:pPr>
          </w:p>
        </w:tc>
        <w:tc>
          <w:tcPr>
            <w:tcW w:w="3827" w:type="dxa"/>
            <w:vMerge w:val="restart"/>
          </w:tcPr>
          <w:p w14:paraId="1F9E81E9" w14:textId="77777777" w:rsidR="00C50C28" w:rsidRPr="00C50C28" w:rsidRDefault="00C50C28" w:rsidP="00C50C28">
            <w:pPr>
              <w:widowControl w:val="0"/>
              <w:jc w:val="both"/>
              <w:rPr>
                <w:b/>
                <w:bCs/>
                <w:szCs w:val="24"/>
                <w:lang w:eastAsia="lt-LT"/>
              </w:rPr>
            </w:pPr>
            <w:r w:rsidRPr="00C50C28">
              <w:rPr>
                <w:b/>
                <w:bCs/>
                <w:szCs w:val="24"/>
                <w:lang w:eastAsia="lt-LT"/>
              </w:rPr>
              <w:lastRenderedPageBreak/>
              <w:t xml:space="preserve">2022-06-09 </w:t>
            </w:r>
          </w:p>
          <w:p w14:paraId="1EEA9DE4" w14:textId="77777777" w:rsidR="00C50C28" w:rsidRPr="00C50C28" w:rsidRDefault="00C50C28" w:rsidP="00C50C28">
            <w:pPr>
              <w:rPr>
                <w:b/>
                <w:color w:val="00B0F0"/>
                <w:szCs w:val="24"/>
                <w:lang w:eastAsia="lt-LT"/>
              </w:rPr>
            </w:pPr>
            <w:r w:rsidRPr="00C50C28">
              <w:rPr>
                <w:b/>
                <w:color w:val="00B0F0"/>
                <w:szCs w:val="24"/>
                <w:lang w:eastAsia="lt-LT"/>
              </w:rPr>
              <w:t>Planuojama įgyvendinti</w:t>
            </w:r>
          </w:p>
          <w:p w14:paraId="29B7E9EE" w14:textId="77777777" w:rsidR="00C50C28" w:rsidRPr="00C50C28" w:rsidRDefault="00C50C28" w:rsidP="00C50C28">
            <w:pPr>
              <w:widowControl w:val="0"/>
              <w:jc w:val="both"/>
              <w:rPr>
                <w:snapToGrid w:val="0"/>
                <w:szCs w:val="24"/>
                <w:lang w:eastAsia="lt-LT"/>
              </w:rPr>
            </w:pPr>
            <w:r w:rsidRPr="00C50C28">
              <w:rPr>
                <w:snapToGrid w:val="0"/>
                <w:szCs w:val="24"/>
                <w:lang w:eastAsia="lt-LT"/>
              </w:rPr>
              <w:lastRenderedPageBreak/>
              <w:t xml:space="preserve">Prevencinėse priemonėse nurodytus veiksmus siūlome įtraukti į KLUL vadovo sprendimu patvirtintą korupcijos prevencijos veiksmų planą ir numatyti veiksmo įgyvendinimo terminą. </w:t>
            </w:r>
          </w:p>
          <w:p w14:paraId="0F96087C" w14:textId="77777777" w:rsidR="00C50C28" w:rsidRPr="00C50C28" w:rsidRDefault="00C50C28" w:rsidP="00C50C28">
            <w:pPr>
              <w:widowControl w:val="0"/>
              <w:rPr>
                <w:snapToGrid w:val="0"/>
                <w:szCs w:val="24"/>
                <w:lang w:eastAsia="lt-LT"/>
              </w:rPr>
            </w:pPr>
            <w:r w:rsidRPr="00C50C28">
              <w:rPr>
                <w:snapToGrid w:val="0"/>
                <w:szCs w:val="24"/>
                <w:lang w:eastAsia="lt-LT"/>
              </w:rPr>
              <w:t>Stebėsena tęsiama.</w:t>
            </w:r>
          </w:p>
        </w:tc>
      </w:tr>
      <w:tr w:rsidR="00C50C28" w:rsidRPr="00C50C28" w14:paraId="6E8EBD0E" w14:textId="77777777" w:rsidTr="009E0638">
        <w:trPr>
          <w:trHeight w:val="276"/>
        </w:trPr>
        <w:tc>
          <w:tcPr>
            <w:tcW w:w="3539" w:type="dxa"/>
            <w:vMerge w:val="restart"/>
          </w:tcPr>
          <w:p w14:paraId="1432A739" w14:textId="77777777" w:rsidR="00C50C28" w:rsidRPr="00C50C28" w:rsidRDefault="00C50C28" w:rsidP="00C50C28">
            <w:pPr>
              <w:widowControl w:val="0"/>
              <w:jc w:val="both"/>
              <w:rPr>
                <w:snapToGrid w:val="0"/>
                <w:szCs w:val="24"/>
                <w:lang w:eastAsia="lt-LT"/>
              </w:rPr>
            </w:pPr>
            <w:r w:rsidRPr="00C50C28">
              <w:rPr>
                <w:snapToGrid w:val="0"/>
                <w:szCs w:val="24"/>
                <w:lang w:eastAsia="lt-LT"/>
              </w:rPr>
              <w:lastRenderedPageBreak/>
              <w:t>2.1.3.</w:t>
            </w:r>
            <w:r w:rsidRPr="00C50C28">
              <w:rPr>
                <w:snapToGrid w:val="0"/>
                <w:szCs w:val="24"/>
                <w:lang w:eastAsia="lt-LT"/>
              </w:rPr>
              <w:tab/>
              <w:t>Tam tikro tiekėjo, tiekiančio tam tikro gamintojo ir modelio endoprotezą ASPĮ, protegavimo riziką didina gydytojų, atliekančių endoprotezavimo operacijas bei skiriančių pacientams centralizuotai perkamus pirminius (standartinius) endoprotezus, neviešinamų sąsajų bei tiesioginių ir netiesioginių finansinių ryšių su endoprotezų tiekėjais nepakankama vidaus kontrolė. (motyvai nurodyti išvados 4.2 skirsnyje).</w:t>
            </w:r>
          </w:p>
        </w:tc>
        <w:tc>
          <w:tcPr>
            <w:tcW w:w="3544" w:type="dxa"/>
            <w:vMerge/>
          </w:tcPr>
          <w:p w14:paraId="7645F94A" w14:textId="77777777" w:rsidR="00C50C28" w:rsidRPr="00C50C28" w:rsidRDefault="00C50C28" w:rsidP="00C50C28">
            <w:pPr>
              <w:widowControl w:val="0"/>
              <w:jc w:val="both"/>
              <w:rPr>
                <w:snapToGrid w:val="0"/>
                <w:szCs w:val="24"/>
                <w:lang w:eastAsia="lt-LT"/>
              </w:rPr>
            </w:pPr>
          </w:p>
        </w:tc>
        <w:tc>
          <w:tcPr>
            <w:tcW w:w="3827" w:type="dxa"/>
            <w:vMerge/>
          </w:tcPr>
          <w:p w14:paraId="757985F0" w14:textId="77777777" w:rsidR="00C50C28" w:rsidRPr="00C50C28" w:rsidRDefault="00C50C28" w:rsidP="00C50C28">
            <w:pPr>
              <w:widowControl w:val="0"/>
              <w:jc w:val="both"/>
              <w:rPr>
                <w:snapToGrid w:val="0"/>
                <w:szCs w:val="24"/>
                <w:lang w:eastAsia="lt-LT"/>
              </w:rPr>
            </w:pPr>
          </w:p>
        </w:tc>
        <w:tc>
          <w:tcPr>
            <w:tcW w:w="3827" w:type="dxa"/>
            <w:vMerge/>
          </w:tcPr>
          <w:p w14:paraId="52144458" w14:textId="77777777" w:rsidR="00C50C28" w:rsidRPr="00C50C28" w:rsidRDefault="00C50C28" w:rsidP="00C50C28">
            <w:pPr>
              <w:widowControl w:val="0"/>
              <w:rPr>
                <w:snapToGrid w:val="0"/>
                <w:szCs w:val="24"/>
                <w:lang w:eastAsia="lt-LT"/>
              </w:rPr>
            </w:pPr>
          </w:p>
        </w:tc>
      </w:tr>
      <w:tr w:rsidR="00C50C28" w:rsidRPr="00C50C28" w14:paraId="14E50EC4" w14:textId="77777777" w:rsidTr="009E0638">
        <w:tc>
          <w:tcPr>
            <w:tcW w:w="3539" w:type="dxa"/>
            <w:vMerge/>
          </w:tcPr>
          <w:p w14:paraId="74F7C129" w14:textId="77777777" w:rsidR="00C50C28" w:rsidRPr="00C50C28" w:rsidRDefault="00C50C28" w:rsidP="00C50C28">
            <w:pPr>
              <w:widowControl w:val="0"/>
              <w:jc w:val="both"/>
              <w:rPr>
                <w:snapToGrid w:val="0"/>
                <w:szCs w:val="24"/>
                <w:lang w:eastAsia="lt-LT"/>
              </w:rPr>
            </w:pPr>
          </w:p>
        </w:tc>
        <w:tc>
          <w:tcPr>
            <w:tcW w:w="3544" w:type="dxa"/>
            <w:vMerge/>
          </w:tcPr>
          <w:p w14:paraId="5FBA447E" w14:textId="77777777" w:rsidR="00C50C28" w:rsidRPr="00C50C28" w:rsidRDefault="00C50C28" w:rsidP="00C50C28">
            <w:pPr>
              <w:widowControl w:val="0"/>
              <w:jc w:val="both"/>
              <w:rPr>
                <w:snapToGrid w:val="0"/>
                <w:szCs w:val="24"/>
                <w:lang w:eastAsia="lt-LT"/>
              </w:rPr>
            </w:pPr>
          </w:p>
        </w:tc>
        <w:tc>
          <w:tcPr>
            <w:tcW w:w="3827" w:type="dxa"/>
          </w:tcPr>
          <w:p w14:paraId="07E286B2"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30040526" w14:textId="77777777" w:rsidR="00C50C28" w:rsidRDefault="00C50C28" w:rsidP="00C50C28">
            <w:pPr>
              <w:widowControl w:val="0"/>
              <w:jc w:val="both"/>
              <w:rPr>
                <w:snapToGrid w:val="0"/>
                <w:szCs w:val="24"/>
                <w:lang w:eastAsia="lt-LT"/>
              </w:rPr>
            </w:pPr>
            <w:r w:rsidRPr="00C50C28">
              <w:rPr>
                <w:snapToGrid w:val="0"/>
                <w:szCs w:val="24"/>
                <w:lang w:eastAsia="lt-LT"/>
              </w:rPr>
              <w:t>Visi ligoninės gydytojai traumatologai ortopedai 2023 m. pateikė privačių interesų deklaracijas.</w:t>
            </w:r>
          </w:p>
          <w:p w14:paraId="26A509E4" w14:textId="77777777" w:rsidR="00970836" w:rsidRDefault="00970836" w:rsidP="00C50C28">
            <w:pPr>
              <w:widowControl w:val="0"/>
              <w:jc w:val="both"/>
              <w:rPr>
                <w:snapToGrid w:val="0"/>
                <w:szCs w:val="24"/>
                <w:lang w:eastAsia="lt-LT"/>
              </w:rPr>
            </w:pPr>
          </w:p>
          <w:p w14:paraId="185603E1" w14:textId="578D0677" w:rsidR="00970836" w:rsidRPr="00C50C28" w:rsidRDefault="00970836" w:rsidP="00970836">
            <w:pPr>
              <w:widowControl w:val="0"/>
              <w:jc w:val="both"/>
              <w:rPr>
                <w:snapToGrid w:val="0"/>
                <w:szCs w:val="24"/>
                <w:lang w:eastAsia="lt-LT"/>
              </w:rPr>
            </w:pPr>
          </w:p>
        </w:tc>
        <w:tc>
          <w:tcPr>
            <w:tcW w:w="3827" w:type="dxa"/>
          </w:tcPr>
          <w:p w14:paraId="36DF7E78"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3703901F" w14:textId="77777777" w:rsidR="00C50C28" w:rsidRPr="00C50C28" w:rsidRDefault="00C50C28" w:rsidP="00C50C28">
            <w:pPr>
              <w:widowControl w:val="0"/>
              <w:jc w:val="both"/>
              <w:rPr>
                <w:b/>
                <w:color w:val="92D050"/>
                <w:szCs w:val="24"/>
                <w:lang w:eastAsia="lt-LT"/>
              </w:rPr>
            </w:pPr>
            <w:r w:rsidRPr="00C50C28">
              <w:rPr>
                <w:b/>
                <w:color w:val="92D050"/>
                <w:szCs w:val="24"/>
                <w:lang w:eastAsia="lt-LT"/>
              </w:rPr>
              <w:t>Įgyvendinta iš dalies</w:t>
            </w:r>
          </w:p>
          <w:p w14:paraId="1EBCB687" w14:textId="77777777" w:rsidR="00C50C28" w:rsidRPr="00C50C28" w:rsidRDefault="00C50C28" w:rsidP="00C50C28">
            <w:pPr>
              <w:widowControl w:val="0"/>
              <w:jc w:val="both"/>
              <w:rPr>
                <w:snapToGrid w:val="0"/>
                <w:szCs w:val="24"/>
                <w:lang w:eastAsia="lt-LT"/>
              </w:rPr>
            </w:pPr>
          </w:p>
          <w:p w14:paraId="48B31489"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KLUL Interneto puslapyje skelbiamų Prevencinių priemonių 1 punkte nurodyta, kad KLUL planuoja užtikrinti, kad KLUL </w:t>
            </w:r>
            <w:r w:rsidRPr="00C50C28">
              <w:rPr>
                <w:i/>
                <w:snapToGrid w:val="0"/>
                <w:szCs w:val="24"/>
                <w:lang w:eastAsia="lt-LT"/>
              </w:rPr>
              <w:t xml:space="preserve">gydytojai ortopedai traumatologai, kurie skiria pacientams ar kitaip naudoja medicinos priemones, įsigytas iš PSDF biudžeto, laiku deklaruotų savo privačius interesus įskaitant dalyvavimą asociacijose ir </w:t>
            </w:r>
            <w:r w:rsidRPr="00C50C28">
              <w:rPr>
                <w:i/>
                <w:snapToGrid w:val="0"/>
                <w:szCs w:val="24"/>
                <w:lang w:eastAsia="lt-LT"/>
              </w:rPr>
              <w:lastRenderedPageBreak/>
              <w:t>organizacijose, vienijančiose sveikatos priežiūros specialistus, veikloje, jei jie ar jiems artimi asmenys yra šių organizacijų nariai, eina bet kokias pareigas šiose organizacijose arba yra sudarę sandorius (sudarytos autorinės, paslaugų teikimo, renginių išlaidų atlyginimo (kompensavimo) ir kt. sutartys) su šiomis organizacijomis, įskaitant individualios veiklos sandorius, kurių vertė didesnė negu 3000 eurų</w:t>
            </w:r>
            <w:r w:rsidRPr="00C50C28">
              <w:rPr>
                <w:snapToGrid w:val="0"/>
                <w:szCs w:val="24"/>
                <w:lang w:eastAsia="lt-LT"/>
              </w:rPr>
              <w:t xml:space="preserve">. KLUL Prevencinėse priemonėse nenumatyta šių veiksmų vykdymo tvarka, atsakingi asmenys, terminai ir kt. KLUL nepateikė jokios informacijos kokius faktiškai gydytojų informavimo veiksmus įvykdė ir kokius rezultatus pasiekė įgyvendinant šį pasiūlymą, todėl negalima objektyviai įvertinti ar KLUL įvykdė pateiktą pasiūlymą. </w:t>
            </w:r>
          </w:p>
          <w:p w14:paraId="1927AE27" w14:textId="77777777" w:rsidR="00C50C28" w:rsidRPr="00C50C28" w:rsidRDefault="00C50C28" w:rsidP="00C50C28">
            <w:pPr>
              <w:widowControl w:val="0"/>
              <w:jc w:val="both"/>
              <w:rPr>
                <w:snapToGrid w:val="0"/>
                <w:szCs w:val="24"/>
                <w:lang w:eastAsia="lt-LT"/>
              </w:rPr>
            </w:pPr>
            <w:r w:rsidRPr="00816461">
              <w:rPr>
                <w:snapToGrid w:val="0"/>
                <w:szCs w:val="24"/>
                <w:lang w:eastAsia="lt-LT"/>
              </w:rPr>
              <w:t>Siūlome,</w:t>
            </w:r>
            <w:r w:rsidRPr="00C50C28">
              <w:rPr>
                <w:snapToGrid w:val="0"/>
                <w:szCs w:val="24"/>
                <w:lang w:eastAsia="lt-LT"/>
              </w:rPr>
              <w:t xml:space="preserve"> įgyvendinant šį pasiūlymą, KLUL parengti išankstines interesų deklaravimo rekomendacijas ir išaiškinti gydytojams, kurie yra asociacijų valdymo organų nariai, jų prievolę deklaruoti ryšius su asociacijomis, kurias remia tiekėjai (siūlytina pasinaudoti RVUL gerąja praktika pateikiant potencialaus interesų konflikto su medicinos priemonių tiekėjais ir gamintojais situacijas), o paaiškėjus, kad pirkime </w:t>
            </w:r>
            <w:r w:rsidRPr="00C50C28">
              <w:rPr>
                <w:snapToGrid w:val="0"/>
                <w:szCs w:val="24"/>
                <w:lang w:eastAsia="lt-LT"/>
              </w:rPr>
              <w:lastRenderedPageBreak/>
              <w:t xml:space="preserve">dalyvauja ar pacientui turi skirti tiekėjo, kuris yra asociacijos rėmėjas tiekiamus ar gaminamus endoprotezus, taip pat deklaruoti apie šį ryšį su medicinos priemonių tiekėjais arba gamintojais. </w:t>
            </w:r>
          </w:p>
          <w:p w14:paraId="2250D49A" w14:textId="77777777" w:rsidR="00C50C28" w:rsidRPr="00C50C28" w:rsidRDefault="00C50C28" w:rsidP="00C50C28">
            <w:pPr>
              <w:widowControl w:val="0"/>
              <w:jc w:val="both"/>
              <w:rPr>
                <w:snapToGrid w:val="0"/>
                <w:szCs w:val="24"/>
                <w:lang w:eastAsia="lt-LT"/>
              </w:rPr>
            </w:pPr>
            <w:r w:rsidRPr="00C50C28">
              <w:rPr>
                <w:snapToGrid w:val="0"/>
                <w:szCs w:val="24"/>
                <w:lang w:eastAsia="lt-LT"/>
              </w:rPr>
              <w:t>Taip pat siūlome įtraukti šio pasiūlymo įgyvendinimo veiksmus į KLUL korupcijos prevencijos veiksmų planą.</w:t>
            </w:r>
          </w:p>
          <w:p w14:paraId="11F8E7E6" w14:textId="77777777" w:rsidR="00C50C28" w:rsidRPr="00C50C28" w:rsidRDefault="00C50C28" w:rsidP="00C50C28">
            <w:pPr>
              <w:widowControl w:val="0"/>
              <w:jc w:val="both"/>
              <w:rPr>
                <w:snapToGrid w:val="0"/>
                <w:szCs w:val="24"/>
                <w:lang w:eastAsia="lt-LT"/>
              </w:rPr>
            </w:pPr>
            <w:r w:rsidRPr="00C50C28">
              <w:rPr>
                <w:snapToGrid w:val="0"/>
                <w:szCs w:val="24"/>
                <w:lang w:eastAsia="lt-LT"/>
              </w:rPr>
              <w:t>Stebėsena tęsiama.</w:t>
            </w:r>
          </w:p>
        </w:tc>
      </w:tr>
      <w:tr w:rsidR="00C50C28" w:rsidRPr="00C50C28" w14:paraId="407F99CC" w14:textId="77777777" w:rsidTr="009E0638">
        <w:tc>
          <w:tcPr>
            <w:tcW w:w="3539" w:type="dxa"/>
            <w:vMerge/>
          </w:tcPr>
          <w:p w14:paraId="32742F20" w14:textId="77777777" w:rsidR="00C50C28" w:rsidRPr="00C50C28" w:rsidRDefault="00C50C28" w:rsidP="00C50C28">
            <w:pPr>
              <w:widowControl w:val="0"/>
              <w:jc w:val="both"/>
              <w:rPr>
                <w:snapToGrid w:val="0"/>
                <w:szCs w:val="24"/>
                <w:lang w:eastAsia="lt-LT"/>
              </w:rPr>
            </w:pPr>
          </w:p>
        </w:tc>
        <w:tc>
          <w:tcPr>
            <w:tcW w:w="3544" w:type="dxa"/>
            <w:vMerge/>
          </w:tcPr>
          <w:p w14:paraId="2E40A1C3" w14:textId="77777777" w:rsidR="00C50C28" w:rsidRPr="00C50C28" w:rsidRDefault="00C50C28" w:rsidP="00C50C28">
            <w:pPr>
              <w:widowControl w:val="0"/>
              <w:jc w:val="both"/>
              <w:rPr>
                <w:snapToGrid w:val="0"/>
                <w:szCs w:val="24"/>
                <w:lang w:eastAsia="lt-LT"/>
              </w:rPr>
            </w:pPr>
          </w:p>
        </w:tc>
        <w:tc>
          <w:tcPr>
            <w:tcW w:w="3827" w:type="dxa"/>
          </w:tcPr>
          <w:p w14:paraId="008A8618" w14:textId="77777777" w:rsidR="00C50C28" w:rsidRPr="00C50C28" w:rsidRDefault="00C50C28" w:rsidP="00C50C28">
            <w:pPr>
              <w:widowControl w:val="0"/>
              <w:jc w:val="both"/>
              <w:rPr>
                <w:b/>
                <w:bCs/>
                <w:szCs w:val="24"/>
                <w:lang w:eastAsia="lt-LT"/>
              </w:rPr>
            </w:pPr>
            <w:r w:rsidRPr="00C50C28">
              <w:rPr>
                <w:b/>
                <w:bCs/>
                <w:szCs w:val="24"/>
                <w:lang w:eastAsia="lt-LT"/>
              </w:rPr>
              <w:t>2023-12-11</w:t>
            </w:r>
          </w:p>
          <w:p w14:paraId="5D46E86F" w14:textId="77777777" w:rsidR="00C50C28" w:rsidRPr="00C50C28" w:rsidRDefault="00C50C28" w:rsidP="00C50C28">
            <w:pPr>
              <w:widowControl w:val="0"/>
              <w:jc w:val="both"/>
              <w:rPr>
                <w:bCs/>
                <w:szCs w:val="24"/>
                <w:lang w:eastAsia="lt-LT"/>
              </w:rPr>
            </w:pPr>
            <w:r w:rsidRPr="00C50C28">
              <w:rPr>
                <w:bCs/>
                <w:szCs w:val="24"/>
                <w:lang w:eastAsia="lt-LT"/>
              </w:rPr>
              <w:t xml:space="preserve">Kadangi nuo 2023-01-01 keitėsi ligoninės juridinis statusas, visi  ligoninės gydytojai ortopedai traumatologai 2023 m. tikslino privačių interesų deklaracijas. </w:t>
            </w:r>
          </w:p>
          <w:p w14:paraId="044FE07E" w14:textId="77777777" w:rsidR="00C50C28" w:rsidRPr="00C50C28" w:rsidRDefault="00C50C28" w:rsidP="00C50C28">
            <w:pPr>
              <w:widowControl w:val="0"/>
              <w:jc w:val="both"/>
              <w:rPr>
                <w:bCs/>
                <w:szCs w:val="24"/>
                <w:lang w:eastAsia="lt-LT"/>
              </w:rPr>
            </w:pPr>
            <w:r w:rsidRPr="00C50C28">
              <w:rPr>
                <w:bCs/>
                <w:szCs w:val="24"/>
                <w:lang w:eastAsia="lt-LT"/>
              </w:rPr>
              <w:t>Šiuo metu visi ortopedai traumatologai pateikė patikslintas deklaracijas.</w:t>
            </w:r>
          </w:p>
          <w:p w14:paraId="0763EB83" w14:textId="77777777" w:rsidR="00C50C28" w:rsidRPr="00C50C28" w:rsidRDefault="00C50C28" w:rsidP="00C50C28">
            <w:pPr>
              <w:widowControl w:val="0"/>
              <w:jc w:val="both"/>
              <w:rPr>
                <w:bCs/>
                <w:szCs w:val="24"/>
                <w:lang w:eastAsia="lt-LT"/>
              </w:rPr>
            </w:pPr>
          </w:p>
          <w:p w14:paraId="059C0AE2" w14:textId="77777777" w:rsidR="00C50C28" w:rsidRDefault="00C50C28" w:rsidP="00C50C28">
            <w:pPr>
              <w:widowControl w:val="0"/>
              <w:jc w:val="both"/>
              <w:rPr>
                <w:bCs/>
                <w:szCs w:val="24"/>
                <w:lang w:eastAsia="lt-LT"/>
              </w:rPr>
            </w:pPr>
            <w:r w:rsidRPr="00C50C28">
              <w:rPr>
                <w:bCs/>
                <w:szCs w:val="24"/>
                <w:lang w:eastAsia="lt-LT"/>
              </w:rPr>
              <w:t>Vykdant ligoninės 2023-2025 m. korupcijos prevencijos planą, vykdoma pastovi visų ligoninės darbuotojų, kuriems privalu teikti viešųjų ir privačių interesų deklaracijas, deklaracijų pateikimo stebėsena.</w:t>
            </w:r>
          </w:p>
          <w:p w14:paraId="78F2EB68" w14:textId="7914B0EF" w:rsidR="00B46C8F" w:rsidRPr="006B1AC6" w:rsidRDefault="00B46C8F" w:rsidP="00B46C8F">
            <w:pPr>
              <w:widowControl w:val="0"/>
              <w:jc w:val="both"/>
              <w:rPr>
                <w:b/>
                <w:bCs/>
                <w:snapToGrid w:val="0"/>
                <w:szCs w:val="24"/>
                <w:lang w:eastAsia="lt-LT"/>
              </w:rPr>
            </w:pPr>
            <w:r w:rsidRPr="006B1AC6">
              <w:rPr>
                <w:b/>
                <w:bCs/>
                <w:snapToGrid w:val="0"/>
                <w:szCs w:val="24"/>
                <w:lang w:eastAsia="lt-LT"/>
              </w:rPr>
              <w:t>2024-01-15</w:t>
            </w:r>
          </w:p>
          <w:p w14:paraId="4FFB0A41" w14:textId="77777777" w:rsidR="00880745" w:rsidRDefault="002E336E" w:rsidP="00B46C8F">
            <w:pPr>
              <w:widowControl w:val="0"/>
              <w:jc w:val="both"/>
              <w:rPr>
                <w:snapToGrid w:val="0"/>
                <w:szCs w:val="24"/>
                <w:lang w:eastAsia="lt-LT"/>
              </w:rPr>
            </w:pPr>
            <w:r w:rsidRPr="006B1AC6">
              <w:rPr>
                <w:snapToGrid w:val="0"/>
                <w:szCs w:val="24"/>
                <w:lang w:eastAsia="lt-LT"/>
              </w:rPr>
              <w:t>Siūlomos p</w:t>
            </w:r>
            <w:r w:rsidR="00B46C8F" w:rsidRPr="006B1AC6">
              <w:rPr>
                <w:snapToGrid w:val="0"/>
                <w:szCs w:val="24"/>
                <w:lang w:eastAsia="lt-LT"/>
              </w:rPr>
              <w:t>revencinėse priemonės įtraukt</w:t>
            </w:r>
            <w:r w:rsidRPr="006B1AC6">
              <w:rPr>
                <w:snapToGrid w:val="0"/>
                <w:szCs w:val="24"/>
                <w:lang w:eastAsia="lt-LT"/>
              </w:rPr>
              <w:t>os</w:t>
            </w:r>
            <w:r w:rsidR="00B46C8F" w:rsidRPr="006B1AC6">
              <w:rPr>
                <w:snapToGrid w:val="0"/>
                <w:szCs w:val="24"/>
                <w:lang w:eastAsia="lt-LT"/>
              </w:rPr>
              <w:t xml:space="preserve"> į </w:t>
            </w:r>
            <w:r w:rsidRPr="006B1AC6">
              <w:rPr>
                <w:snapToGrid w:val="0"/>
                <w:szCs w:val="24"/>
                <w:lang w:eastAsia="lt-LT"/>
              </w:rPr>
              <w:t xml:space="preserve">atnaujintą </w:t>
            </w:r>
            <w:r w:rsidR="00B46C8F" w:rsidRPr="006B1AC6">
              <w:rPr>
                <w:snapToGrid w:val="0"/>
                <w:szCs w:val="24"/>
                <w:lang w:eastAsia="lt-LT"/>
              </w:rPr>
              <w:t xml:space="preserve">KLUL korupcijos prevencijos veiksmų planą. </w:t>
            </w:r>
          </w:p>
          <w:p w14:paraId="65F4C068" w14:textId="77777777" w:rsidR="006B1AC6" w:rsidRDefault="006B1AC6" w:rsidP="00B46C8F">
            <w:pPr>
              <w:widowControl w:val="0"/>
              <w:jc w:val="both"/>
              <w:rPr>
                <w:b/>
                <w:bCs/>
                <w:snapToGrid w:val="0"/>
                <w:szCs w:val="24"/>
                <w:lang w:eastAsia="lt-LT"/>
              </w:rPr>
            </w:pPr>
          </w:p>
          <w:p w14:paraId="2BE937EB" w14:textId="77777777" w:rsidR="006B1AC6" w:rsidRDefault="006B1AC6" w:rsidP="00B46C8F">
            <w:pPr>
              <w:widowControl w:val="0"/>
              <w:jc w:val="both"/>
              <w:rPr>
                <w:b/>
                <w:bCs/>
                <w:snapToGrid w:val="0"/>
                <w:szCs w:val="24"/>
                <w:lang w:eastAsia="lt-LT"/>
              </w:rPr>
            </w:pPr>
          </w:p>
          <w:p w14:paraId="086E67DA" w14:textId="77777777" w:rsidR="006B1AC6" w:rsidRPr="006B1AC6" w:rsidRDefault="006B1AC6" w:rsidP="00B46C8F">
            <w:pPr>
              <w:widowControl w:val="0"/>
              <w:jc w:val="both"/>
              <w:rPr>
                <w:b/>
                <w:bCs/>
                <w:snapToGrid w:val="0"/>
                <w:color w:val="7030A0"/>
                <w:szCs w:val="24"/>
                <w:lang w:eastAsia="lt-LT"/>
              </w:rPr>
            </w:pPr>
            <w:r w:rsidRPr="006B1AC6">
              <w:rPr>
                <w:b/>
                <w:bCs/>
                <w:snapToGrid w:val="0"/>
                <w:color w:val="7030A0"/>
                <w:szCs w:val="24"/>
                <w:lang w:eastAsia="lt-LT"/>
              </w:rPr>
              <w:t>2024.11.27</w:t>
            </w:r>
          </w:p>
          <w:p w14:paraId="3FCB7C9B" w14:textId="77777777" w:rsidR="006B1AC6" w:rsidRPr="006B1AC6" w:rsidRDefault="006B1AC6" w:rsidP="006B1AC6">
            <w:pPr>
              <w:widowControl w:val="0"/>
              <w:rPr>
                <w:snapToGrid w:val="0"/>
                <w:color w:val="7030A0"/>
                <w:szCs w:val="24"/>
                <w:lang w:eastAsia="lt-LT"/>
              </w:rPr>
            </w:pPr>
            <w:r w:rsidRPr="006B1AC6">
              <w:rPr>
                <w:snapToGrid w:val="0"/>
                <w:color w:val="7030A0"/>
                <w:szCs w:val="24"/>
                <w:lang w:eastAsia="lt-LT"/>
              </w:rPr>
              <w:t>1. Išankstines interesų deklaravimo rekomendacijas parengtos (pridedama)</w:t>
            </w:r>
          </w:p>
          <w:p w14:paraId="4150055C" w14:textId="77777777" w:rsidR="006B1AC6" w:rsidRPr="006B1AC6" w:rsidRDefault="006B1AC6" w:rsidP="006B1AC6">
            <w:pPr>
              <w:widowControl w:val="0"/>
              <w:rPr>
                <w:color w:val="7030A0"/>
                <w:szCs w:val="24"/>
                <w:lang w:eastAsia="lt-LT"/>
              </w:rPr>
            </w:pPr>
            <w:r w:rsidRPr="006B1AC6">
              <w:rPr>
                <w:color w:val="7030A0"/>
                <w:szCs w:val="24"/>
                <w:lang w:eastAsia="lt-LT"/>
              </w:rPr>
              <w:t>2. Papildomai apie deklaravimo prievolę išaiškinama susitikimų su medikais metu (vieno iš susitikimo protokolo pavyzdys pridedamas) Darbuotojų mokymai tęsiami.</w:t>
            </w:r>
          </w:p>
          <w:p w14:paraId="1F4EBABD" w14:textId="1C8A2987" w:rsidR="006B1AC6" w:rsidRPr="006B1AC6" w:rsidRDefault="006B1AC6" w:rsidP="006B1AC6">
            <w:pPr>
              <w:widowControl w:val="0"/>
              <w:rPr>
                <w:szCs w:val="24"/>
                <w:lang w:eastAsia="lt-LT"/>
              </w:rPr>
            </w:pPr>
            <w:r w:rsidRPr="006B1AC6">
              <w:rPr>
                <w:color w:val="7030A0"/>
                <w:szCs w:val="24"/>
                <w:lang w:eastAsia="lt-LT"/>
              </w:rPr>
              <w:t>3. Pasiūlymų įgyvendinimas įtrauktas į 2023-2025 m. veiksmų planą (pridedama)</w:t>
            </w:r>
          </w:p>
        </w:tc>
        <w:tc>
          <w:tcPr>
            <w:tcW w:w="3827" w:type="dxa"/>
          </w:tcPr>
          <w:p w14:paraId="2A5E9657" w14:textId="77777777" w:rsidR="00C50C28" w:rsidRPr="00C50C28" w:rsidRDefault="00C50C28" w:rsidP="00C50C28">
            <w:pPr>
              <w:widowControl w:val="0"/>
              <w:jc w:val="both"/>
              <w:rPr>
                <w:b/>
                <w:bCs/>
                <w:szCs w:val="24"/>
                <w:lang w:eastAsia="lt-LT"/>
              </w:rPr>
            </w:pPr>
            <w:r w:rsidRPr="00C50C28">
              <w:rPr>
                <w:b/>
                <w:bCs/>
                <w:szCs w:val="24"/>
                <w:lang w:eastAsia="lt-LT"/>
              </w:rPr>
              <w:lastRenderedPageBreak/>
              <w:t>2023-12-12</w:t>
            </w:r>
          </w:p>
          <w:p w14:paraId="09BA4B7F" w14:textId="77777777" w:rsidR="00C50C28" w:rsidRPr="00C50C28" w:rsidRDefault="00C50C28" w:rsidP="00C50C28">
            <w:pPr>
              <w:widowControl w:val="0"/>
              <w:jc w:val="both"/>
              <w:rPr>
                <w:b/>
                <w:color w:val="FF0000"/>
                <w:szCs w:val="24"/>
                <w:lang w:eastAsia="lt-LT"/>
              </w:rPr>
            </w:pPr>
            <w:r w:rsidRPr="00C50C28">
              <w:rPr>
                <w:b/>
                <w:color w:val="FF0000"/>
                <w:szCs w:val="24"/>
                <w:lang w:eastAsia="lt-LT"/>
              </w:rPr>
              <w:t>Neįgyvendinta</w:t>
            </w:r>
          </w:p>
          <w:p w14:paraId="4AEEE9FA"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KLUL interneto svetainėje nebeliko anksčiau skelbtų Prevencinių priemonių, kuriose buvo planuojamas šio pasiūlymo įgyvendinimas. </w:t>
            </w:r>
          </w:p>
          <w:p w14:paraId="4A93076B" w14:textId="77777777" w:rsidR="00C50C28" w:rsidRPr="00C50C28" w:rsidRDefault="00C50C28" w:rsidP="00C50C28">
            <w:pPr>
              <w:widowControl w:val="0"/>
              <w:jc w:val="both"/>
              <w:rPr>
                <w:bCs/>
                <w:szCs w:val="24"/>
                <w:lang w:eastAsia="lt-LT"/>
              </w:rPr>
            </w:pPr>
            <w:r w:rsidRPr="00C50C28">
              <w:rPr>
                <w:snapToGrid w:val="0"/>
                <w:szCs w:val="24"/>
                <w:lang w:eastAsia="lt-LT"/>
              </w:rPr>
              <w:t>2023-08-28 paskelbtame KLUL:</w:t>
            </w:r>
            <w:r w:rsidRPr="00C50C28">
              <w:rPr>
                <w:bCs/>
                <w:szCs w:val="24"/>
                <w:lang w:eastAsia="lt-LT"/>
              </w:rPr>
              <w:t xml:space="preserve">2023-2025 m. korupcijos prevencijos plane be bendrų mokymų </w:t>
            </w:r>
          </w:p>
          <w:p w14:paraId="0590676C" w14:textId="77777777" w:rsidR="00C50C28" w:rsidRPr="00C50C28" w:rsidRDefault="00C50C28" w:rsidP="00C50C28">
            <w:pPr>
              <w:autoSpaceDE w:val="0"/>
              <w:autoSpaceDN w:val="0"/>
              <w:adjustRightInd w:val="0"/>
              <w:jc w:val="both"/>
              <w:rPr>
                <w:color w:val="000000"/>
                <w:sz w:val="23"/>
                <w:szCs w:val="23"/>
              </w:rPr>
            </w:pPr>
            <w:r w:rsidRPr="00C50C28">
              <w:rPr>
                <w:color w:val="000000"/>
                <w:sz w:val="23"/>
                <w:szCs w:val="23"/>
              </w:rPr>
              <w:t>deklaruojantiems viešuosius ir privačiuosius interesus,</w:t>
            </w:r>
            <w:r w:rsidRPr="00C50C28">
              <w:rPr>
                <w:bCs/>
                <w:color w:val="000000"/>
                <w:szCs w:val="24"/>
              </w:rPr>
              <w:t xml:space="preserve"> </w:t>
            </w:r>
            <w:r w:rsidRPr="00A375FC">
              <w:rPr>
                <w:bCs/>
                <w:color w:val="000000"/>
                <w:szCs w:val="24"/>
              </w:rPr>
              <w:t>nenumatytos spec. darbuotojų informavimo apie galimus interesų konfliktus su medicinos pagalbos priemonių teikėjais, gamintojais ir jų remiamomis asociacijomis priemonės.</w:t>
            </w:r>
          </w:p>
          <w:p w14:paraId="0FDC3BA8"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KLUL nepateikė informacijos kokius faktiškai gydytojų informavimo veiksmus įvykdė ar yra parengtos išankstinės interesų deklaravimo rekomendacijos ir kokius rezultatus pasiekė įgyvendinant šį pasiūlymą, </w:t>
            </w:r>
            <w:r w:rsidRPr="00C50C28">
              <w:rPr>
                <w:snapToGrid w:val="0"/>
                <w:szCs w:val="24"/>
                <w:lang w:eastAsia="lt-LT"/>
              </w:rPr>
              <w:lastRenderedPageBreak/>
              <w:t xml:space="preserve">todėl šiuo metu negalima objektyviai įvertinti ar KLUL įvykdė pateiktą pasiūlymą. </w:t>
            </w:r>
          </w:p>
          <w:p w14:paraId="0EE94FF6" w14:textId="77777777" w:rsidR="00C50C28" w:rsidRPr="00C50C28" w:rsidRDefault="00C50C28" w:rsidP="00C50C28">
            <w:pPr>
              <w:widowControl w:val="0"/>
              <w:jc w:val="both"/>
              <w:rPr>
                <w:snapToGrid w:val="0"/>
                <w:szCs w:val="24"/>
                <w:lang w:eastAsia="lt-LT"/>
              </w:rPr>
            </w:pPr>
          </w:p>
          <w:p w14:paraId="27AD3F20"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Pakartotinai siūlome, įgyvendinant šį pasiūlymą, KLUL parengti išankstines interesų deklaravimo rekomendacijas ir išaiškinti gydytojams, kurie yra asociacijų valdymo organų nariai, jų prievolę deklaruoti ryšius su asociacijomis, kurias remia tiekėjai (siūlytina pasinaudoti RVUL gerąja praktika pateikiant potencialaus interesų konflikto su medicinos priemonių tiekėjais ir gamintojais situacijas), o paaiškėjus, kad pirkime dalyvauja ar pacientui turi skirti tiekėjo, kuris yra asociacijos rėmėjas tiekiamus ar gaminamus endoprotezus, taip pat deklaruoti apie šį ryšį su medicinos priemonių tiekėjais arba gamintojais. </w:t>
            </w:r>
          </w:p>
          <w:p w14:paraId="3C5B6F4A" w14:textId="77777777" w:rsidR="00C50C28" w:rsidRPr="00C50C28" w:rsidRDefault="00C50C28" w:rsidP="00C50C28">
            <w:pPr>
              <w:widowControl w:val="0"/>
              <w:jc w:val="both"/>
              <w:rPr>
                <w:snapToGrid w:val="0"/>
                <w:szCs w:val="24"/>
                <w:lang w:eastAsia="lt-LT"/>
              </w:rPr>
            </w:pPr>
            <w:r w:rsidRPr="00C50C28">
              <w:rPr>
                <w:snapToGrid w:val="0"/>
                <w:szCs w:val="24"/>
                <w:lang w:eastAsia="lt-LT"/>
              </w:rPr>
              <w:t>Taip pat siūlome įtraukti šio pasiūlymo įgyvendinimo veiksmus į KLUL korupcijos prevencijos veiksmų planą ir pateikti STT nuorodas į paskelbtus dokumentus arba pateikti jų kopijas</w:t>
            </w:r>
          </w:p>
          <w:p w14:paraId="1AC93A5C" w14:textId="77777777" w:rsidR="00C50C28" w:rsidRPr="00C50C28" w:rsidRDefault="00C50C28" w:rsidP="00C50C28">
            <w:pPr>
              <w:rPr>
                <w:szCs w:val="24"/>
                <w:lang w:eastAsia="lt-LT"/>
              </w:rPr>
            </w:pPr>
          </w:p>
          <w:p w14:paraId="34D0920C" w14:textId="77777777" w:rsidR="00C50C28" w:rsidRPr="00C50C28" w:rsidRDefault="00C50C28" w:rsidP="00C50C28">
            <w:pPr>
              <w:rPr>
                <w:szCs w:val="24"/>
                <w:lang w:eastAsia="lt-LT"/>
              </w:rPr>
            </w:pPr>
            <w:r w:rsidRPr="00C50C28">
              <w:rPr>
                <w:szCs w:val="24"/>
                <w:lang w:eastAsia="lt-LT"/>
              </w:rPr>
              <w:t>Stebėsena tęsiama</w:t>
            </w:r>
          </w:p>
        </w:tc>
      </w:tr>
      <w:tr w:rsidR="00C50C28" w:rsidRPr="00C50C28" w14:paraId="6D9704E7" w14:textId="77777777" w:rsidTr="009E0638">
        <w:tc>
          <w:tcPr>
            <w:tcW w:w="3539" w:type="dxa"/>
            <w:vMerge w:val="restart"/>
          </w:tcPr>
          <w:p w14:paraId="7A3BECDD" w14:textId="77777777" w:rsidR="00C50C28" w:rsidRPr="00C50C28" w:rsidRDefault="00C50C28" w:rsidP="00C50C28">
            <w:pPr>
              <w:widowControl w:val="0"/>
              <w:jc w:val="both"/>
              <w:rPr>
                <w:snapToGrid w:val="0"/>
                <w:szCs w:val="24"/>
                <w:lang w:eastAsia="lt-LT"/>
              </w:rPr>
            </w:pPr>
            <w:r w:rsidRPr="00C50C28">
              <w:rPr>
                <w:snapToGrid w:val="0"/>
                <w:szCs w:val="24"/>
                <w:lang w:eastAsia="lt-LT"/>
              </w:rPr>
              <w:lastRenderedPageBreak/>
              <w:t>2.1.3.</w:t>
            </w:r>
            <w:r w:rsidRPr="00C50C28">
              <w:rPr>
                <w:snapToGrid w:val="0"/>
                <w:szCs w:val="24"/>
                <w:lang w:eastAsia="lt-LT"/>
              </w:rPr>
              <w:tab/>
              <w:t xml:space="preserve">Tam tikro tiekėjo, tiekiančio tam tikro gamintojo ir modelio endoprotezą ASPĮ, protegavimo riziką didina </w:t>
            </w:r>
            <w:r w:rsidRPr="00C50C28">
              <w:rPr>
                <w:snapToGrid w:val="0"/>
                <w:szCs w:val="24"/>
                <w:lang w:eastAsia="lt-LT"/>
              </w:rPr>
              <w:lastRenderedPageBreak/>
              <w:t>gydytojų, atliekančių endoprotezavimo operacijas bei skiriančių pacientams centralizuotai perkamus pirminius (standartinius) endoprotezus, neviešinamų sąsajų bei tiesioginių ir netiesioginių finansinių ryšių su endoprotezų tiekėjais nepakankama vidaus kontrolė. (motyvai nurodyti išvados 4.2 skirsnyje).</w:t>
            </w:r>
          </w:p>
        </w:tc>
        <w:tc>
          <w:tcPr>
            <w:tcW w:w="3544" w:type="dxa"/>
            <w:vMerge w:val="restart"/>
          </w:tcPr>
          <w:p w14:paraId="67FADE9B" w14:textId="77777777" w:rsidR="00C50C28" w:rsidRPr="00C50C28" w:rsidRDefault="00C50C28" w:rsidP="00C50C28">
            <w:pPr>
              <w:widowControl w:val="0"/>
              <w:jc w:val="both"/>
              <w:rPr>
                <w:snapToGrid w:val="0"/>
                <w:szCs w:val="24"/>
                <w:lang w:eastAsia="lt-LT"/>
              </w:rPr>
            </w:pPr>
            <w:r w:rsidRPr="00C50C28">
              <w:rPr>
                <w:snapToGrid w:val="0"/>
                <w:szCs w:val="24"/>
                <w:lang w:eastAsia="lt-LT"/>
              </w:rPr>
              <w:lastRenderedPageBreak/>
              <w:t xml:space="preserve">2.6. Periodiškai tikrinti gydytojų privačių interesų deklaravimo pareigos vykdymą, nustačius pažeidimus ir trūkumus, imtis </w:t>
            </w:r>
            <w:r w:rsidRPr="00C50C28">
              <w:rPr>
                <w:snapToGrid w:val="0"/>
                <w:szCs w:val="24"/>
                <w:lang w:eastAsia="lt-LT"/>
              </w:rPr>
              <w:lastRenderedPageBreak/>
              <w:t>priemonių juos šalinti ir kitų korupcijos prevencijos priemonių (išvados 5 skyriaus 2.1.3 p. nurodyta pastaba).</w:t>
            </w:r>
          </w:p>
        </w:tc>
        <w:tc>
          <w:tcPr>
            <w:tcW w:w="3827" w:type="dxa"/>
          </w:tcPr>
          <w:p w14:paraId="1E3AD81F" w14:textId="77777777" w:rsidR="00C50C28" w:rsidRPr="00C50C28" w:rsidRDefault="00C50C28" w:rsidP="00C50C28">
            <w:pPr>
              <w:widowControl w:val="0"/>
              <w:jc w:val="both"/>
              <w:rPr>
                <w:b/>
                <w:bCs/>
                <w:szCs w:val="24"/>
                <w:lang w:eastAsia="lt-LT"/>
              </w:rPr>
            </w:pPr>
            <w:r w:rsidRPr="00C50C28">
              <w:rPr>
                <w:b/>
                <w:bCs/>
                <w:szCs w:val="24"/>
                <w:lang w:eastAsia="lt-LT"/>
              </w:rPr>
              <w:lastRenderedPageBreak/>
              <w:t xml:space="preserve">2022-05-25 </w:t>
            </w:r>
          </w:p>
          <w:p w14:paraId="5281E1BF" w14:textId="77777777" w:rsidR="00C50C28" w:rsidRPr="00C50C28" w:rsidRDefault="00C50C28" w:rsidP="00C50C28">
            <w:pPr>
              <w:widowControl w:val="0"/>
              <w:jc w:val="both"/>
              <w:rPr>
                <w:snapToGrid w:val="0"/>
                <w:szCs w:val="24"/>
                <w:lang w:eastAsia="lt-LT"/>
              </w:rPr>
            </w:pPr>
            <w:r w:rsidRPr="00C50C28">
              <w:rPr>
                <w:snapToGrid w:val="0"/>
                <w:szCs w:val="24"/>
                <w:lang w:eastAsia="lt-LT"/>
              </w:rPr>
              <w:t>Informacija nepaskelbta</w:t>
            </w:r>
          </w:p>
        </w:tc>
        <w:tc>
          <w:tcPr>
            <w:tcW w:w="3827" w:type="dxa"/>
          </w:tcPr>
          <w:p w14:paraId="5BBE36F9" w14:textId="77777777" w:rsidR="00C50C28" w:rsidRPr="00C50C28" w:rsidRDefault="00C50C28" w:rsidP="00C50C28">
            <w:pPr>
              <w:widowControl w:val="0"/>
              <w:jc w:val="both"/>
              <w:rPr>
                <w:b/>
                <w:bCs/>
                <w:szCs w:val="24"/>
                <w:lang w:eastAsia="lt-LT"/>
              </w:rPr>
            </w:pPr>
            <w:r w:rsidRPr="00C50C28">
              <w:rPr>
                <w:b/>
                <w:bCs/>
                <w:szCs w:val="24"/>
                <w:lang w:eastAsia="lt-LT"/>
              </w:rPr>
              <w:t xml:space="preserve">2022-06-09 </w:t>
            </w:r>
          </w:p>
          <w:p w14:paraId="2B4FDF73" w14:textId="77777777" w:rsidR="00C50C28" w:rsidRPr="00C50C28" w:rsidRDefault="00C50C28" w:rsidP="00C50C28">
            <w:pPr>
              <w:widowControl w:val="0"/>
              <w:jc w:val="both"/>
              <w:rPr>
                <w:b/>
                <w:color w:val="FF0000"/>
                <w:szCs w:val="24"/>
                <w:lang w:eastAsia="lt-LT"/>
              </w:rPr>
            </w:pPr>
            <w:r w:rsidRPr="00C50C28">
              <w:rPr>
                <w:b/>
                <w:color w:val="FF0000"/>
                <w:szCs w:val="24"/>
                <w:lang w:eastAsia="lt-LT"/>
              </w:rPr>
              <w:t>Neįgyvendinta</w:t>
            </w:r>
          </w:p>
          <w:p w14:paraId="323C1552" w14:textId="77777777" w:rsidR="00C50C28" w:rsidRPr="00C50C28" w:rsidRDefault="00C50C28" w:rsidP="00C50C28">
            <w:pPr>
              <w:widowControl w:val="0"/>
              <w:jc w:val="both"/>
              <w:rPr>
                <w:snapToGrid w:val="0"/>
                <w:szCs w:val="24"/>
                <w:lang w:eastAsia="lt-LT"/>
              </w:rPr>
            </w:pPr>
          </w:p>
          <w:p w14:paraId="460ABCC3"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Nenurodyta, kokius veiksmus įstaiga </w:t>
            </w:r>
            <w:r w:rsidRPr="00C50C28">
              <w:rPr>
                <w:snapToGrid w:val="0"/>
                <w:szCs w:val="24"/>
                <w:lang w:eastAsia="lt-LT"/>
              </w:rPr>
              <w:lastRenderedPageBreak/>
              <w:t>planuoja atlikti, kokias priemones įgyvendinti, kad užtikrinti periodinę gydytojų privačių interesų deklaravimo pareigos vykdymo kontrolę, ir nustačius pažeidimus ir trūkumus, priemonių juos šalinti ir kitų korupcijos prevencijos priemonių taikymą.</w:t>
            </w:r>
          </w:p>
          <w:p w14:paraId="24F853BE" w14:textId="77777777" w:rsidR="00C50C28" w:rsidRPr="00C50C28" w:rsidRDefault="00C50C28" w:rsidP="00C50C28">
            <w:pPr>
              <w:widowControl w:val="0"/>
              <w:jc w:val="both"/>
              <w:rPr>
                <w:snapToGrid w:val="0"/>
                <w:szCs w:val="24"/>
                <w:lang w:eastAsia="lt-LT"/>
              </w:rPr>
            </w:pPr>
          </w:p>
          <w:p w14:paraId="65B15DC3" w14:textId="77777777" w:rsidR="00C50C28" w:rsidRPr="00C50C28" w:rsidRDefault="00C50C28" w:rsidP="00C50C28">
            <w:pPr>
              <w:widowControl w:val="0"/>
              <w:jc w:val="both"/>
              <w:rPr>
                <w:snapToGrid w:val="0"/>
                <w:szCs w:val="24"/>
                <w:lang w:eastAsia="lt-LT"/>
              </w:rPr>
            </w:pPr>
            <w:r w:rsidRPr="00C50C28">
              <w:rPr>
                <w:snapToGrid w:val="0"/>
                <w:szCs w:val="24"/>
                <w:lang w:eastAsia="lt-LT"/>
              </w:rPr>
              <w:t>Siūlome veiksmus ir priemones, skirtus šiam pasiūlymui įgyvendinti, nurodyti Prevencinėse priemonėse ir įstaigos vadovo sprendimu patvirtintame korupcijos prevencijos veiksmų plane.</w:t>
            </w:r>
          </w:p>
          <w:p w14:paraId="6066F574" w14:textId="77777777" w:rsidR="00C50C28" w:rsidRPr="00C50C28" w:rsidRDefault="00C50C28" w:rsidP="00C50C28">
            <w:pPr>
              <w:widowControl w:val="0"/>
              <w:jc w:val="both"/>
              <w:rPr>
                <w:snapToGrid w:val="0"/>
                <w:szCs w:val="24"/>
                <w:lang w:eastAsia="lt-LT"/>
              </w:rPr>
            </w:pPr>
          </w:p>
          <w:p w14:paraId="68E34764" w14:textId="77777777" w:rsidR="00C50C28" w:rsidRPr="00C50C28" w:rsidRDefault="00C50C28" w:rsidP="00C50C28">
            <w:pPr>
              <w:widowControl w:val="0"/>
              <w:jc w:val="both"/>
              <w:rPr>
                <w:snapToGrid w:val="0"/>
                <w:szCs w:val="24"/>
                <w:lang w:eastAsia="lt-LT"/>
              </w:rPr>
            </w:pPr>
            <w:r w:rsidRPr="00C50C28">
              <w:rPr>
                <w:snapToGrid w:val="0"/>
                <w:szCs w:val="24"/>
                <w:lang w:eastAsia="lt-LT"/>
              </w:rPr>
              <w:t>STT interneto puslapyje paskelbta konsultacija dėl šio pasiūlymo įgyvendinimo</w:t>
            </w:r>
            <w:r w:rsidRPr="00C50C28">
              <w:rPr>
                <w:snapToGrid w:val="0"/>
                <w:szCs w:val="24"/>
                <w:vertAlign w:val="superscript"/>
                <w:lang w:eastAsia="lt-LT"/>
              </w:rPr>
              <w:footnoteReference w:id="2"/>
            </w:r>
            <w:r w:rsidRPr="00C50C28">
              <w:rPr>
                <w:snapToGrid w:val="0"/>
                <w:szCs w:val="24"/>
                <w:lang w:eastAsia="lt-LT"/>
              </w:rPr>
              <w:t xml:space="preserve">. </w:t>
            </w:r>
          </w:p>
          <w:p w14:paraId="7236C8E0" w14:textId="77777777" w:rsidR="00C50C28" w:rsidRPr="00C50C28" w:rsidRDefault="00C50C28" w:rsidP="00C50C28">
            <w:pPr>
              <w:widowControl w:val="0"/>
              <w:jc w:val="both"/>
              <w:rPr>
                <w:snapToGrid w:val="0"/>
                <w:szCs w:val="24"/>
                <w:lang w:eastAsia="lt-LT"/>
              </w:rPr>
            </w:pPr>
          </w:p>
          <w:p w14:paraId="3AC53BC0" w14:textId="77777777" w:rsidR="00C50C28" w:rsidRPr="00C50C28" w:rsidRDefault="00C50C28" w:rsidP="00C50C28">
            <w:pPr>
              <w:widowControl w:val="0"/>
              <w:jc w:val="both"/>
              <w:rPr>
                <w:snapToGrid w:val="0"/>
                <w:szCs w:val="24"/>
                <w:lang w:eastAsia="lt-LT"/>
              </w:rPr>
            </w:pPr>
            <w:r w:rsidRPr="00C50C28">
              <w:rPr>
                <w:snapToGrid w:val="0"/>
                <w:szCs w:val="24"/>
                <w:lang w:eastAsia="lt-LT"/>
              </w:rPr>
              <w:t>Stebėsena tęsiama</w:t>
            </w:r>
          </w:p>
          <w:p w14:paraId="3B9210B0" w14:textId="77777777" w:rsidR="00C50C28" w:rsidRPr="00C50C28" w:rsidRDefault="00C50C28" w:rsidP="00C50C28">
            <w:pPr>
              <w:widowControl w:val="0"/>
              <w:rPr>
                <w:snapToGrid w:val="0"/>
                <w:szCs w:val="24"/>
                <w:lang w:eastAsia="lt-LT"/>
              </w:rPr>
            </w:pPr>
          </w:p>
        </w:tc>
      </w:tr>
      <w:tr w:rsidR="00C50C28" w:rsidRPr="00C50C28" w14:paraId="49CDCADE" w14:textId="77777777" w:rsidTr="009E0638">
        <w:tc>
          <w:tcPr>
            <w:tcW w:w="3539" w:type="dxa"/>
            <w:vMerge/>
          </w:tcPr>
          <w:p w14:paraId="55A4115F" w14:textId="77777777" w:rsidR="00C50C28" w:rsidRPr="00C50C28" w:rsidRDefault="00C50C28" w:rsidP="00C50C28">
            <w:pPr>
              <w:widowControl w:val="0"/>
              <w:jc w:val="both"/>
              <w:rPr>
                <w:snapToGrid w:val="0"/>
                <w:szCs w:val="24"/>
                <w:lang w:eastAsia="lt-LT"/>
              </w:rPr>
            </w:pPr>
          </w:p>
        </w:tc>
        <w:tc>
          <w:tcPr>
            <w:tcW w:w="3544" w:type="dxa"/>
            <w:vMerge/>
          </w:tcPr>
          <w:p w14:paraId="123B424E" w14:textId="77777777" w:rsidR="00C50C28" w:rsidRPr="00C50C28" w:rsidRDefault="00C50C28" w:rsidP="00C50C28">
            <w:pPr>
              <w:widowControl w:val="0"/>
              <w:jc w:val="both"/>
              <w:rPr>
                <w:snapToGrid w:val="0"/>
                <w:szCs w:val="24"/>
                <w:lang w:eastAsia="lt-LT"/>
              </w:rPr>
            </w:pPr>
          </w:p>
        </w:tc>
        <w:tc>
          <w:tcPr>
            <w:tcW w:w="3827" w:type="dxa"/>
          </w:tcPr>
          <w:p w14:paraId="066B672E"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61621611" w14:textId="77777777" w:rsidR="00C50C28" w:rsidRPr="00C50C28" w:rsidRDefault="00C50C28" w:rsidP="00C50C28">
            <w:pPr>
              <w:widowControl w:val="0"/>
              <w:jc w:val="both"/>
              <w:rPr>
                <w:b/>
                <w:bCs/>
                <w:szCs w:val="24"/>
                <w:lang w:eastAsia="lt-LT"/>
              </w:rPr>
            </w:pPr>
            <w:r w:rsidRPr="00C50C28">
              <w:rPr>
                <w:bCs/>
                <w:szCs w:val="24"/>
                <w:lang w:eastAsia="lt-LT"/>
              </w:rPr>
              <w:t>Gydytojų traumatologų ortopedų deklaravimo pažeidimų kontrolė planuojama 2023-II ketv. P.s. nuo 2023-01-01 įsteigta nauja įstaiga – Klaipėdos universiteto ligoninė.</w:t>
            </w:r>
          </w:p>
        </w:tc>
        <w:tc>
          <w:tcPr>
            <w:tcW w:w="3827" w:type="dxa"/>
          </w:tcPr>
          <w:p w14:paraId="0AF57986"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0643BA03" w14:textId="77777777" w:rsidR="00C50C28" w:rsidRPr="00C50C28" w:rsidRDefault="00C50C28" w:rsidP="00C50C28">
            <w:pPr>
              <w:widowControl w:val="0"/>
              <w:jc w:val="both"/>
              <w:rPr>
                <w:b/>
                <w:bCs/>
                <w:color w:val="00B0F0"/>
                <w:szCs w:val="24"/>
                <w:lang w:eastAsia="lt-LT"/>
              </w:rPr>
            </w:pPr>
            <w:r w:rsidRPr="00C50C28">
              <w:rPr>
                <w:b/>
                <w:bCs/>
                <w:color w:val="00B0F0"/>
                <w:szCs w:val="24"/>
                <w:lang w:eastAsia="lt-LT"/>
              </w:rPr>
              <w:t>Planuojama įgyvendinti</w:t>
            </w:r>
          </w:p>
          <w:p w14:paraId="6F43BEA2" w14:textId="77777777" w:rsidR="00C50C28" w:rsidRPr="00C50C28" w:rsidRDefault="00C50C28" w:rsidP="00C50C28">
            <w:pPr>
              <w:jc w:val="both"/>
              <w:rPr>
                <w:szCs w:val="24"/>
                <w:lang w:eastAsia="lt-LT"/>
              </w:rPr>
            </w:pPr>
            <w:r w:rsidRPr="00C50C28">
              <w:rPr>
                <w:szCs w:val="24"/>
                <w:lang w:eastAsia="lt-LT"/>
              </w:rPr>
              <w:t xml:space="preserve">KLUL nepateikė informacijos apie KLUL </w:t>
            </w:r>
            <w:r w:rsidRPr="00C50C28">
              <w:rPr>
                <w:snapToGrid w:val="0"/>
                <w:szCs w:val="24"/>
                <w:lang w:eastAsia="lt-LT"/>
              </w:rPr>
              <w:t>gydytojų privačių interesų deklaravimo pareigos vykdymo</w:t>
            </w:r>
            <w:r w:rsidRPr="00C50C28">
              <w:rPr>
                <w:szCs w:val="24"/>
                <w:lang w:eastAsia="lt-LT"/>
              </w:rPr>
              <w:t xml:space="preserve"> priežiūros veiksmus, priemones ir rezultatus. Kontrolės priemones vykdyti planuoja tik 2023 m.</w:t>
            </w:r>
          </w:p>
          <w:p w14:paraId="14F539E0" w14:textId="77777777" w:rsidR="00C50C28" w:rsidRPr="00C50C28" w:rsidRDefault="00C50C28" w:rsidP="00C50C28">
            <w:pPr>
              <w:rPr>
                <w:szCs w:val="24"/>
                <w:lang w:eastAsia="lt-LT"/>
              </w:rPr>
            </w:pPr>
          </w:p>
          <w:p w14:paraId="1EBA04F1" w14:textId="77777777" w:rsidR="00C50C28" w:rsidRPr="00C50C28" w:rsidRDefault="00C50C28" w:rsidP="00C50C28">
            <w:pPr>
              <w:jc w:val="both"/>
              <w:rPr>
                <w:szCs w:val="24"/>
                <w:lang w:eastAsia="lt-LT"/>
              </w:rPr>
            </w:pPr>
            <w:r w:rsidRPr="00C50C28">
              <w:rPr>
                <w:szCs w:val="24"/>
                <w:lang w:eastAsia="lt-LT"/>
              </w:rPr>
              <w:lastRenderedPageBreak/>
              <w:t>Siūlome KLUL, įgyvendinant šį pasiūlymą, atsižvelgti į STT pateiktą konsultaciją RVUL dėl šio pasiūlymo įgyvendinimo, kuri aktuali visoms ASPĮ</w:t>
            </w:r>
            <w:r w:rsidRPr="00C50C28">
              <w:rPr>
                <w:szCs w:val="24"/>
                <w:vertAlign w:val="superscript"/>
                <w:lang w:eastAsia="lt-LT"/>
              </w:rPr>
              <w:footnoteReference w:id="3"/>
            </w:r>
            <w:r w:rsidRPr="00C50C28">
              <w:rPr>
                <w:szCs w:val="24"/>
                <w:lang w:eastAsia="lt-LT"/>
              </w:rPr>
              <w:t xml:space="preserve">, ir periodiškai tikrinti ne tik deklaracijų pateikimo faktus, bet ir jų turinį, t.y. bent 1 kartą per metus pasirinktinai įvertinti dalį gydytojų, kurie atlikdami savo pareigas dalyvauja pirkimų procedūrose ir (ar) skiria centralizuotai įsigytus endoprotezus ar kitas medicinos priemones, pateiktų deklaracijų turinį, siekiant nustatyti, ar jie tinkamai deklaravo interesus dėl kurių gali kilti arba kyla interesų konfliktas, t. y. nurodė savo ir jiems artimų asmenų ryšius su tiekėjais, gamintojais (jų atstovais), taip pat ryšius su asociacijomis, kitomis nevyriausybinėmis organizacijomis.  </w:t>
            </w:r>
          </w:p>
          <w:p w14:paraId="615C5EBA" w14:textId="77777777" w:rsidR="00C50C28" w:rsidRPr="00C50C28" w:rsidRDefault="00C50C28" w:rsidP="00C50C28">
            <w:pPr>
              <w:jc w:val="both"/>
              <w:rPr>
                <w:snapToGrid w:val="0"/>
                <w:szCs w:val="24"/>
                <w:lang w:eastAsia="lt-LT"/>
              </w:rPr>
            </w:pPr>
            <w:r w:rsidRPr="00C50C28">
              <w:rPr>
                <w:snapToGrid w:val="0"/>
                <w:szCs w:val="24"/>
                <w:lang w:eastAsia="lt-LT"/>
              </w:rPr>
              <w:t xml:space="preserve">Taip pat siūlome įtraukti šio pasiūlymo įgyvendinimo veiksmus į KLUL korupcijos prevencijos veiksmų planą. </w:t>
            </w:r>
          </w:p>
          <w:p w14:paraId="2FAAE2DB" w14:textId="77777777" w:rsidR="00C50C28" w:rsidRPr="00C50C28" w:rsidRDefault="00C50C28" w:rsidP="00C50C28">
            <w:pPr>
              <w:rPr>
                <w:szCs w:val="24"/>
                <w:lang w:eastAsia="lt-LT"/>
              </w:rPr>
            </w:pPr>
            <w:r w:rsidRPr="00C50C28">
              <w:rPr>
                <w:szCs w:val="24"/>
                <w:lang w:eastAsia="lt-LT"/>
              </w:rPr>
              <w:t>Stebėsena tęsiama</w:t>
            </w:r>
          </w:p>
        </w:tc>
      </w:tr>
      <w:tr w:rsidR="00C50C28" w:rsidRPr="00C50C28" w14:paraId="14C8525B" w14:textId="77777777" w:rsidTr="009E0638">
        <w:tc>
          <w:tcPr>
            <w:tcW w:w="3539" w:type="dxa"/>
            <w:vMerge/>
          </w:tcPr>
          <w:p w14:paraId="76EC8248" w14:textId="77777777" w:rsidR="00C50C28" w:rsidRPr="00C50C28" w:rsidRDefault="00C50C28" w:rsidP="00C50C28">
            <w:pPr>
              <w:widowControl w:val="0"/>
              <w:jc w:val="both"/>
              <w:rPr>
                <w:snapToGrid w:val="0"/>
                <w:szCs w:val="24"/>
                <w:lang w:eastAsia="lt-LT"/>
              </w:rPr>
            </w:pPr>
          </w:p>
        </w:tc>
        <w:tc>
          <w:tcPr>
            <w:tcW w:w="3544" w:type="dxa"/>
            <w:vMerge/>
          </w:tcPr>
          <w:p w14:paraId="6A4F09FA" w14:textId="77777777" w:rsidR="00C50C28" w:rsidRPr="00C50C28" w:rsidRDefault="00C50C28" w:rsidP="00C50C28">
            <w:pPr>
              <w:widowControl w:val="0"/>
              <w:jc w:val="both"/>
              <w:rPr>
                <w:snapToGrid w:val="0"/>
                <w:szCs w:val="24"/>
                <w:lang w:eastAsia="lt-LT"/>
              </w:rPr>
            </w:pPr>
          </w:p>
        </w:tc>
        <w:tc>
          <w:tcPr>
            <w:tcW w:w="3827" w:type="dxa"/>
          </w:tcPr>
          <w:p w14:paraId="753EA58B" w14:textId="77777777" w:rsidR="00C50C28" w:rsidRPr="00C50C28" w:rsidRDefault="00C50C28" w:rsidP="00C50C28">
            <w:pPr>
              <w:widowControl w:val="0"/>
              <w:jc w:val="both"/>
              <w:rPr>
                <w:b/>
                <w:bCs/>
                <w:szCs w:val="24"/>
                <w:lang w:eastAsia="lt-LT"/>
              </w:rPr>
            </w:pPr>
            <w:r w:rsidRPr="00C50C28">
              <w:rPr>
                <w:b/>
                <w:bCs/>
                <w:szCs w:val="24"/>
                <w:lang w:eastAsia="lt-LT"/>
              </w:rPr>
              <w:t>2023-12-11</w:t>
            </w:r>
          </w:p>
          <w:p w14:paraId="7F61AAA5" w14:textId="77777777" w:rsidR="00C50C28" w:rsidRPr="00C50C28" w:rsidRDefault="00C50C28" w:rsidP="00C50C28">
            <w:pPr>
              <w:widowControl w:val="0"/>
              <w:contextualSpacing/>
              <w:jc w:val="both"/>
              <w:rPr>
                <w:bCs/>
                <w:snapToGrid w:val="0"/>
              </w:rPr>
            </w:pPr>
            <w:r w:rsidRPr="00C50C28">
              <w:rPr>
                <w:bCs/>
                <w:snapToGrid w:val="0"/>
              </w:rPr>
              <w:t xml:space="preserve">2023 m. balandžio mėn. atlikta gydytojų ortopedų traumatologų privalomo viešųjų ir privačių interesų deklaracijų analizė. Galimų viešų ir privačių interesų konfliktų </w:t>
            </w:r>
            <w:r w:rsidRPr="00C50C28">
              <w:rPr>
                <w:bCs/>
                <w:snapToGrid w:val="0"/>
              </w:rPr>
              <w:lastRenderedPageBreak/>
              <w:t xml:space="preserve">nenustatyta. </w:t>
            </w:r>
          </w:p>
          <w:p w14:paraId="60DC8489" w14:textId="77777777" w:rsidR="00C50C28" w:rsidRPr="00C50C28" w:rsidRDefault="00C50C28" w:rsidP="00C50C28">
            <w:pPr>
              <w:widowControl w:val="0"/>
              <w:jc w:val="both"/>
              <w:rPr>
                <w:bCs/>
                <w:snapToGrid w:val="0"/>
                <w:szCs w:val="24"/>
                <w:lang w:eastAsia="lt-LT"/>
              </w:rPr>
            </w:pPr>
            <w:r w:rsidRPr="00C50C28">
              <w:rPr>
                <w:bCs/>
                <w:snapToGrid w:val="0"/>
                <w:szCs w:val="24"/>
                <w:lang w:eastAsia="lt-LT"/>
              </w:rPr>
              <w:t>Toliau analizuojamos tik pateiktos naujai įdarbintų ar deklaravusiųjų patikslintos gydytojų ortopedų traumatologų deklaracijos.</w:t>
            </w:r>
          </w:p>
          <w:p w14:paraId="06D55AB5" w14:textId="77777777" w:rsidR="00C50C28" w:rsidRPr="00C50C28" w:rsidRDefault="00C50C28" w:rsidP="00C50C28">
            <w:pPr>
              <w:widowControl w:val="0"/>
              <w:jc w:val="both"/>
              <w:rPr>
                <w:bCs/>
                <w:snapToGrid w:val="0"/>
                <w:szCs w:val="24"/>
                <w:lang w:eastAsia="lt-LT"/>
              </w:rPr>
            </w:pPr>
            <w:r w:rsidRPr="00C50C28">
              <w:rPr>
                <w:bCs/>
                <w:snapToGrid w:val="0"/>
                <w:szCs w:val="24"/>
                <w:lang w:eastAsia="lt-LT"/>
              </w:rPr>
              <w:t>2023 m. spalio mėn. patikrinta naujai įdarbinto gydytojo deklaracija, galimų interesų konflikto nenustatyta.</w:t>
            </w:r>
          </w:p>
          <w:p w14:paraId="42058A8D" w14:textId="77777777" w:rsidR="00C50C28" w:rsidRPr="00C50C28" w:rsidRDefault="00C50C28" w:rsidP="00C50C28">
            <w:pPr>
              <w:widowControl w:val="0"/>
              <w:jc w:val="both"/>
              <w:rPr>
                <w:bCs/>
                <w:snapToGrid w:val="0"/>
                <w:szCs w:val="24"/>
                <w:lang w:eastAsia="lt-LT"/>
              </w:rPr>
            </w:pPr>
            <w:r w:rsidRPr="00C50C28">
              <w:rPr>
                <w:bCs/>
                <w:snapToGrid w:val="0"/>
                <w:szCs w:val="24"/>
                <w:lang w:eastAsia="lt-LT"/>
              </w:rPr>
              <w:t>Patikslintų deklaracijų nebuvo.</w:t>
            </w:r>
          </w:p>
          <w:p w14:paraId="3483045C" w14:textId="77777777" w:rsidR="002E336E" w:rsidRPr="006B1AC6" w:rsidRDefault="002E336E" w:rsidP="002E336E">
            <w:pPr>
              <w:widowControl w:val="0"/>
              <w:jc w:val="both"/>
              <w:rPr>
                <w:b/>
                <w:bCs/>
                <w:snapToGrid w:val="0"/>
                <w:szCs w:val="24"/>
                <w:lang w:eastAsia="lt-LT"/>
              </w:rPr>
            </w:pPr>
            <w:r w:rsidRPr="006B1AC6">
              <w:rPr>
                <w:b/>
                <w:bCs/>
                <w:snapToGrid w:val="0"/>
                <w:szCs w:val="24"/>
                <w:lang w:eastAsia="lt-LT"/>
              </w:rPr>
              <w:t>2024-01-15</w:t>
            </w:r>
          </w:p>
          <w:p w14:paraId="7D33F07C" w14:textId="77777777" w:rsidR="00C50C28" w:rsidRDefault="002E336E" w:rsidP="002E336E">
            <w:pPr>
              <w:widowControl w:val="0"/>
              <w:jc w:val="both"/>
              <w:rPr>
                <w:snapToGrid w:val="0"/>
                <w:szCs w:val="24"/>
                <w:lang w:eastAsia="lt-LT"/>
              </w:rPr>
            </w:pPr>
            <w:r w:rsidRPr="006B1AC6">
              <w:rPr>
                <w:snapToGrid w:val="0"/>
                <w:szCs w:val="24"/>
                <w:lang w:eastAsia="lt-LT"/>
              </w:rPr>
              <w:t>Siūlomos prevencinėse priemonės įtrauktos į atnaujintą KLUL korupcijos prevencijos veiksmų planą.</w:t>
            </w:r>
          </w:p>
          <w:p w14:paraId="5BA7D9CB" w14:textId="77777777" w:rsidR="006B1AC6" w:rsidRDefault="006B1AC6" w:rsidP="002E336E">
            <w:pPr>
              <w:widowControl w:val="0"/>
              <w:jc w:val="both"/>
              <w:rPr>
                <w:b/>
                <w:bCs/>
                <w:snapToGrid w:val="0"/>
                <w:szCs w:val="24"/>
                <w:lang w:eastAsia="lt-LT"/>
              </w:rPr>
            </w:pPr>
          </w:p>
          <w:p w14:paraId="442650F8" w14:textId="77777777" w:rsidR="006B1AC6" w:rsidRPr="005C6E44" w:rsidRDefault="006B1AC6" w:rsidP="002E336E">
            <w:pPr>
              <w:widowControl w:val="0"/>
              <w:jc w:val="both"/>
              <w:rPr>
                <w:b/>
                <w:bCs/>
                <w:color w:val="7030A0"/>
                <w:szCs w:val="24"/>
                <w:lang w:eastAsia="lt-LT"/>
              </w:rPr>
            </w:pPr>
            <w:r w:rsidRPr="005C6E44">
              <w:rPr>
                <w:b/>
                <w:bCs/>
                <w:color w:val="7030A0"/>
                <w:szCs w:val="24"/>
                <w:lang w:eastAsia="lt-LT"/>
              </w:rPr>
              <w:t>2024.11.27</w:t>
            </w:r>
          </w:p>
          <w:p w14:paraId="0AF64526" w14:textId="77777777" w:rsidR="006B1AC6" w:rsidRPr="005C6E44" w:rsidRDefault="006B1AC6" w:rsidP="006B1AC6">
            <w:pPr>
              <w:widowControl w:val="0"/>
              <w:jc w:val="both"/>
              <w:rPr>
                <w:color w:val="7030A0"/>
                <w:szCs w:val="24"/>
                <w:lang w:eastAsia="lt-LT"/>
              </w:rPr>
            </w:pPr>
            <w:r w:rsidRPr="005C6E44">
              <w:rPr>
                <w:color w:val="7030A0"/>
                <w:szCs w:val="24"/>
                <w:lang w:eastAsia="lt-LT"/>
              </w:rPr>
              <w:t>1. Periodiška privačių interesų deklaracijų ir jų turinio stebėsena įgyvendinta ir tęsiama (dokumentas pridedamas)</w:t>
            </w:r>
          </w:p>
          <w:p w14:paraId="024FF406" w14:textId="594DD297" w:rsidR="006B1AC6" w:rsidRDefault="006B1AC6" w:rsidP="006B1AC6">
            <w:pPr>
              <w:widowControl w:val="0"/>
              <w:jc w:val="both"/>
              <w:rPr>
                <w:snapToGrid w:val="0"/>
                <w:szCs w:val="24"/>
                <w:lang w:eastAsia="lt-LT"/>
              </w:rPr>
            </w:pPr>
            <w:r w:rsidRPr="006B1AC6">
              <w:rPr>
                <w:color w:val="7030A0"/>
                <w:szCs w:val="24"/>
                <w:lang w:eastAsia="lt-LT"/>
              </w:rPr>
              <w:t>2. Priemonė įtraukta į 2023-2025 m. veiksmų planą (pridedama)</w:t>
            </w:r>
          </w:p>
          <w:p w14:paraId="69A110EC" w14:textId="5051315E" w:rsidR="006B1AC6" w:rsidRPr="006B1AC6" w:rsidRDefault="006B1AC6" w:rsidP="006B1AC6">
            <w:pPr>
              <w:widowControl w:val="0"/>
              <w:jc w:val="both"/>
              <w:rPr>
                <w:szCs w:val="24"/>
                <w:lang w:eastAsia="lt-LT"/>
              </w:rPr>
            </w:pPr>
          </w:p>
        </w:tc>
        <w:tc>
          <w:tcPr>
            <w:tcW w:w="3827" w:type="dxa"/>
          </w:tcPr>
          <w:p w14:paraId="6313156F" w14:textId="77777777" w:rsidR="00C50C28" w:rsidRPr="00C50C28" w:rsidRDefault="00C50C28" w:rsidP="00C50C28">
            <w:pPr>
              <w:widowControl w:val="0"/>
              <w:jc w:val="both"/>
              <w:rPr>
                <w:b/>
                <w:bCs/>
                <w:szCs w:val="24"/>
                <w:lang w:eastAsia="lt-LT"/>
              </w:rPr>
            </w:pPr>
            <w:r w:rsidRPr="00C50C28">
              <w:rPr>
                <w:b/>
                <w:bCs/>
                <w:szCs w:val="24"/>
                <w:lang w:eastAsia="lt-LT"/>
              </w:rPr>
              <w:lastRenderedPageBreak/>
              <w:t>2023-12-12</w:t>
            </w:r>
          </w:p>
          <w:p w14:paraId="6E2A2C25" w14:textId="77777777" w:rsidR="00C50C28" w:rsidRPr="00C50C28" w:rsidRDefault="00C50C28" w:rsidP="00C50C28">
            <w:pPr>
              <w:widowControl w:val="0"/>
              <w:jc w:val="both"/>
              <w:rPr>
                <w:b/>
                <w:snapToGrid w:val="0"/>
                <w:color w:val="92D050"/>
                <w:szCs w:val="24"/>
                <w:lang w:eastAsia="lt-LT"/>
              </w:rPr>
            </w:pPr>
            <w:r w:rsidRPr="00C50C28">
              <w:rPr>
                <w:b/>
                <w:snapToGrid w:val="0"/>
                <w:color w:val="92D050"/>
                <w:szCs w:val="24"/>
                <w:lang w:eastAsia="lt-LT"/>
              </w:rPr>
              <w:t>Įgyvendinta iš dalies</w:t>
            </w:r>
          </w:p>
          <w:p w14:paraId="62EC8C10" w14:textId="77777777" w:rsidR="00C50C28" w:rsidRPr="00C50C28" w:rsidRDefault="00C50C28" w:rsidP="00C50C28">
            <w:pPr>
              <w:widowControl w:val="0"/>
              <w:jc w:val="both"/>
              <w:rPr>
                <w:snapToGrid w:val="0"/>
                <w:szCs w:val="24"/>
                <w:lang w:eastAsia="lt-LT"/>
              </w:rPr>
            </w:pPr>
          </w:p>
          <w:p w14:paraId="27C62F22" w14:textId="77777777" w:rsidR="00C50C28" w:rsidRPr="00C50C28" w:rsidRDefault="00C50C28" w:rsidP="00C50C28">
            <w:pPr>
              <w:widowControl w:val="0"/>
              <w:jc w:val="both"/>
              <w:rPr>
                <w:snapToGrid w:val="0"/>
                <w:szCs w:val="24"/>
                <w:lang w:eastAsia="lt-LT"/>
              </w:rPr>
            </w:pPr>
            <w:r w:rsidRPr="00C50C28">
              <w:rPr>
                <w:snapToGrid w:val="0"/>
                <w:szCs w:val="24"/>
                <w:lang w:eastAsia="lt-LT"/>
              </w:rPr>
              <w:t>Neįgyvendina pasiūlymo dalis:</w:t>
            </w:r>
          </w:p>
          <w:p w14:paraId="790B05B6" w14:textId="77777777" w:rsidR="00C50C28" w:rsidRPr="00C50C28" w:rsidRDefault="00C50C28" w:rsidP="00C50C28">
            <w:pPr>
              <w:widowControl w:val="0"/>
              <w:jc w:val="both"/>
              <w:rPr>
                <w:snapToGrid w:val="0"/>
                <w:szCs w:val="24"/>
                <w:lang w:eastAsia="lt-LT"/>
              </w:rPr>
            </w:pPr>
            <w:r w:rsidRPr="00C50C28">
              <w:rPr>
                <w:szCs w:val="24"/>
                <w:lang w:eastAsia="lt-LT"/>
              </w:rPr>
              <w:t>„</w:t>
            </w:r>
            <w:r w:rsidRPr="00C50C28">
              <w:rPr>
                <w:i/>
                <w:szCs w:val="24"/>
                <w:lang w:eastAsia="lt-LT"/>
              </w:rPr>
              <w:t xml:space="preserve">periodiškai tikrinti ne tik deklaracijų pateikimo faktus, bet ir jų turinį, t.y. </w:t>
            </w:r>
            <w:r w:rsidRPr="00C50C28">
              <w:rPr>
                <w:i/>
                <w:szCs w:val="24"/>
                <w:lang w:eastAsia="lt-LT"/>
              </w:rPr>
              <w:lastRenderedPageBreak/>
              <w:t>bent 1 kartą per metus pasirinktinai įvertinti dalį gydytojų, kurie atlikdami savo pareigas dalyvauja pirkimų procedūrose ir (ar) skiria centralizuotai įsigytus endoprotezus ar kitas medicinos priemones, pateiktų deklaracijų turinį, siekiant nustatyti, ar jie tinkamai deklaravo interesus dėl kurių gali kilti arba kyla interesų konfliktas, t. y. nurodė savo ir jiems artimų asmenų ryšius su tiekėjais, gamintojais (jų atstovais), taip pat ryšius su asociacijomis, kitomis nevyriausybinėmis organizacijomis</w:t>
            </w:r>
            <w:r w:rsidRPr="00C50C28">
              <w:rPr>
                <w:szCs w:val="24"/>
                <w:lang w:eastAsia="lt-LT"/>
              </w:rPr>
              <w:t>“</w:t>
            </w:r>
          </w:p>
          <w:p w14:paraId="36E71991" w14:textId="77777777" w:rsidR="00C50C28" w:rsidRPr="00C50C28" w:rsidRDefault="00C50C28" w:rsidP="00C50C28">
            <w:pPr>
              <w:widowControl w:val="0"/>
              <w:jc w:val="both"/>
              <w:rPr>
                <w:snapToGrid w:val="0"/>
                <w:szCs w:val="24"/>
                <w:lang w:eastAsia="lt-LT"/>
              </w:rPr>
            </w:pPr>
            <w:r w:rsidRPr="00C50C28">
              <w:rPr>
                <w:snapToGrid w:val="0"/>
                <w:szCs w:val="24"/>
                <w:lang w:eastAsia="lt-LT"/>
              </w:rPr>
              <w:t>Pažymėtina, kad 2023-08-28 paskelbtame KLUL:</w:t>
            </w:r>
            <w:r w:rsidRPr="00C50C28">
              <w:rPr>
                <w:bCs/>
                <w:szCs w:val="24"/>
                <w:lang w:eastAsia="lt-LT"/>
              </w:rPr>
              <w:t>2023-2025 m. korupcijos prevencijos plane nenumatytos periodiškos privačių interesų deklaracijų ir jų turinio stebėsenos bei patikrinimų priemonės, todėl nėra aiškūs nei šios vidaus kontrolės įgyvendinimo terminai, laukiamas rezultatas ir jo vertinimo kriterijai.</w:t>
            </w:r>
          </w:p>
          <w:p w14:paraId="5ACCB2A8" w14:textId="77777777" w:rsidR="00C50C28" w:rsidRPr="00C50C28" w:rsidRDefault="00C50C28" w:rsidP="00C50C28">
            <w:pPr>
              <w:widowControl w:val="0"/>
              <w:jc w:val="both"/>
              <w:rPr>
                <w:bCs/>
                <w:szCs w:val="24"/>
                <w:lang w:eastAsia="lt-LT"/>
              </w:rPr>
            </w:pPr>
            <w:r w:rsidRPr="00C50C28">
              <w:rPr>
                <w:bCs/>
                <w:szCs w:val="24"/>
                <w:lang w:eastAsia="lt-LT"/>
              </w:rPr>
              <w:t xml:space="preserve">Siūlome </w:t>
            </w:r>
            <w:r w:rsidRPr="00C50C28">
              <w:rPr>
                <w:snapToGrid w:val="0"/>
                <w:szCs w:val="24"/>
                <w:lang w:eastAsia="lt-LT"/>
              </w:rPr>
              <w:t>KLUL:</w:t>
            </w:r>
            <w:r w:rsidRPr="00C50C28">
              <w:rPr>
                <w:bCs/>
                <w:szCs w:val="24"/>
                <w:lang w:eastAsia="lt-LT"/>
              </w:rPr>
              <w:t xml:space="preserve">2023-2025 m. korupcijos prevencijos plane numatyti periodiškai atliekamas privačių interesų deklaracijų ir jų turinio stebėsenos bei patikrinimų priemonės ir jas vykdant pasirinktinai atlikti ASPĮ dirbančių gydytojų privačių interesų deklaracijų turinio patikrinimus ir pateikti STT atliktų </w:t>
            </w:r>
            <w:r w:rsidRPr="00C50C28">
              <w:rPr>
                <w:bCs/>
                <w:szCs w:val="24"/>
                <w:lang w:eastAsia="lt-LT"/>
              </w:rPr>
              <w:lastRenderedPageBreak/>
              <w:t>patikrinimų pažymų kopijas.</w:t>
            </w:r>
          </w:p>
          <w:p w14:paraId="79EEAED8" w14:textId="77777777" w:rsidR="00C50C28" w:rsidRPr="00C50C28" w:rsidRDefault="00C50C28" w:rsidP="00C50C28">
            <w:pPr>
              <w:widowControl w:val="0"/>
              <w:jc w:val="both"/>
              <w:rPr>
                <w:bCs/>
                <w:szCs w:val="24"/>
                <w:lang w:eastAsia="lt-LT"/>
              </w:rPr>
            </w:pPr>
          </w:p>
          <w:p w14:paraId="54B6902D" w14:textId="77777777" w:rsidR="00C50C28" w:rsidRPr="00C50C28" w:rsidRDefault="00C50C28" w:rsidP="00C50C28">
            <w:pPr>
              <w:widowControl w:val="0"/>
              <w:jc w:val="both"/>
              <w:rPr>
                <w:bCs/>
                <w:szCs w:val="24"/>
                <w:lang w:eastAsia="lt-LT"/>
              </w:rPr>
            </w:pPr>
            <w:r w:rsidRPr="00C50C28">
              <w:rPr>
                <w:bCs/>
                <w:szCs w:val="24"/>
                <w:lang w:eastAsia="lt-LT"/>
              </w:rPr>
              <w:t>Stebėsena tęsiama</w:t>
            </w:r>
          </w:p>
          <w:p w14:paraId="7AC5E3FD" w14:textId="77777777" w:rsidR="00C50C28" w:rsidRPr="00C50C28" w:rsidRDefault="00C50C28" w:rsidP="00C50C28">
            <w:pPr>
              <w:widowControl w:val="0"/>
              <w:jc w:val="both"/>
              <w:rPr>
                <w:b/>
                <w:bCs/>
                <w:szCs w:val="24"/>
                <w:lang w:eastAsia="lt-LT"/>
              </w:rPr>
            </w:pPr>
          </w:p>
        </w:tc>
      </w:tr>
      <w:tr w:rsidR="00C50C28" w:rsidRPr="00C50C28" w14:paraId="405478ED" w14:textId="77777777" w:rsidTr="009E0638">
        <w:tc>
          <w:tcPr>
            <w:tcW w:w="14737" w:type="dxa"/>
            <w:gridSpan w:val="4"/>
          </w:tcPr>
          <w:p w14:paraId="640C20D5" w14:textId="77777777" w:rsidR="00C50C28" w:rsidRPr="00C50C28" w:rsidRDefault="00C50C28" w:rsidP="00C50C28">
            <w:pPr>
              <w:widowControl w:val="0"/>
              <w:numPr>
                <w:ilvl w:val="0"/>
                <w:numId w:val="1"/>
              </w:numPr>
              <w:contextualSpacing/>
              <w:jc w:val="center"/>
              <w:rPr>
                <w:b/>
                <w:i/>
                <w:snapToGrid w:val="0"/>
              </w:rPr>
            </w:pPr>
            <w:r w:rsidRPr="00C50C28">
              <w:rPr>
                <w:b/>
                <w:i/>
                <w:snapToGrid w:val="0"/>
              </w:rPr>
              <w:lastRenderedPageBreak/>
              <w:t>Kitos antikorupcinės pastabos</w:t>
            </w:r>
          </w:p>
        </w:tc>
      </w:tr>
      <w:tr w:rsidR="00C50C28" w:rsidRPr="00C50C28" w14:paraId="4E44FF56" w14:textId="77777777" w:rsidTr="009E0638">
        <w:tc>
          <w:tcPr>
            <w:tcW w:w="3539" w:type="dxa"/>
            <w:vMerge w:val="restart"/>
          </w:tcPr>
          <w:p w14:paraId="03AFE502" w14:textId="77777777" w:rsidR="00C50C28" w:rsidRPr="00C50C28" w:rsidRDefault="00C50C28" w:rsidP="00C50C28">
            <w:pPr>
              <w:widowControl w:val="0"/>
              <w:tabs>
                <w:tab w:val="left" w:pos="731"/>
              </w:tabs>
              <w:jc w:val="both"/>
              <w:rPr>
                <w:snapToGrid w:val="0"/>
                <w:szCs w:val="24"/>
                <w:lang w:eastAsia="lt-LT"/>
              </w:rPr>
            </w:pPr>
            <w:r w:rsidRPr="00C50C28">
              <w:rPr>
                <w:snapToGrid w:val="0"/>
                <w:szCs w:val="24"/>
                <w:lang w:eastAsia="lt-LT"/>
              </w:rPr>
              <w:t>2.2.3.</w:t>
            </w:r>
            <w:r w:rsidRPr="00C50C28">
              <w:rPr>
                <w:snapToGrid w:val="0"/>
                <w:szCs w:val="24"/>
                <w:lang w:eastAsia="lt-LT"/>
              </w:rPr>
              <w:tab/>
              <w:t>TLK atliekama ganėtinai formali valstybinė priežiūra, neatliekamas centralizuotai perkamų endoprotezų paskyrimo pacientams teisėtumo ir žalos PSDF biudžetui vertinimas, tikslingų antikorupcinių ar teisės pažeidimo prevencijos priemonių nepakankamas išnaudojimas VLK ir ASPĮ, neužtikrina veiksmingos valstybinės priežiūros, korupcijos pasireiškimo tikimybės nustatymo ir tikslingų antikorupcinių ar teisės pažeidimo prevencijos priemonių taikymo centralizuotai perkamų endoprotezų panaudojimo ASPĮ veiklos srityje (motyvai nurodyti išvados 4.3 skirsnyje).</w:t>
            </w:r>
          </w:p>
        </w:tc>
        <w:tc>
          <w:tcPr>
            <w:tcW w:w="3544" w:type="dxa"/>
            <w:vMerge w:val="restart"/>
          </w:tcPr>
          <w:p w14:paraId="0DF12717" w14:textId="77777777" w:rsidR="00C50C28" w:rsidRPr="00C50C28" w:rsidRDefault="00C50C28" w:rsidP="00C50C28">
            <w:pPr>
              <w:widowControl w:val="0"/>
              <w:jc w:val="both"/>
              <w:rPr>
                <w:snapToGrid w:val="0"/>
                <w:szCs w:val="24"/>
                <w:lang w:eastAsia="lt-LT"/>
              </w:rPr>
            </w:pPr>
            <w:r w:rsidRPr="00C50C28">
              <w:rPr>
                <w:snapToGrid w:val="0"/>
                <w:szCs w:val="24"/>
                <w:lang w:eastAsia="lt-LT"/>
              </w:rPr>
              <w:t>2.8. TLK nustačius ASPĮ gydytojų ortopedų traumatologų pareigų pažeidimo faktus, imtis priemonių užtikrinant tinkamą atsakingų asmenų teisinės atsakomybės įvertinimą ir tobulinant teisės pažeidimų ir korupcijos prevencijos priemones ASPĮ, o atlyginus žalą PSDF biudžetui, spręsti klausimą dėl ASPĮ atlygintos žalos regreso iš kaltų ASPĮ darbuotojų (išvados 5 skyriaus 2.2.3 p. nurodyta pastaba).</w:t>
            </w:r>
          </w:p>
        </w:tc>
        <w:tc>
          <w:tcPr>
            <w:tcW w:w="3827" w:type="dxa"/>
          </w:tcPr>
          <w:p w14:paraId="77755B05" w14:textId="77777777" w:rsidR="00C50C28" w:rsidRPr="00C50C28" w:rsidRDefault="00C50C28" w:rsidP="00C50C28">
            <w:pPr>
              <w:widowControl w:val="0"/>
              <w:jc w:val="both"/>
              <w:rPr>
                <w:b/>
                <w:bCs/>
                <w:szCs w:val="24"/>
                <w:lang w:eastAsia="lt-LT"/>
              </w:rPr>
            </w:pPr>
            <w:r w:rsidRPr="00C50C28">
              <w:rPr>
                <w:b/>
                <w:bCs/>
                <w:szCs w:val="24"/>
                <w:lang w:eastAsia="lt-LT"/>
              </w:rPr>
              <w:t xml:space="preserve">2022-05-25 </w:t>
            </w:r>
          </w:p>
          <w:p w14:paraId="3D787736" w14:textId="77777777" w:rsidR="00C50C28" w:rsidRDefault="00C50C28" w:rsidP="00C50C28">
            <w:pPr>
              <w:widowControl w:val="0"/>
              <w:jc w:val="both"/>
              <w:rPr>
                <w:snapToGrid w:val="0"/>
                <w:szCs w:val="24"/>
                <w:lang w:eastAsia="lt-LT"/>
              </w:rPr>
            </w:pPr>
            <w:r w:rsidRPr="00C50C28">
              <w:rPr>
                <w:snapToGrid w:val="0"/>
                <w:szCs w:val="24"/>
                <w:lang w:eastAsia="lt-LT"/>
              </w:rPr>
              <w:t>Informacija nepaskelbta</w:t>
            </w:r>
          </w:p>
          <w:p w14:paraId="6C31BB76" w14:textId="01C0B7D5" w:rsidR="002E336E" w:rsidRPr="00C50C28" w:rsidRDefault="002E336E" w:rsidP="002E336E">
            <w:pPr>
              <w:widowControl w:val="0"/>
              <w:jc w:val="both"/>
              <w:rPr>
                <w:snapToGrid w:val="0"/>
                <w:szCs w:val="24"/>
                <w:lang w:eastAsia="lt-LT"/>
              </w:rPr>
            </w:pPr>
          </w:p>
        </w:tc>
        <w:tc>
          <w:tcPr>
            <w:tcW w:w="3827" w:type="dxa"/>
          </w:tcPr>
          <w:p w14:paraId="4AF18664" w14:textId="77777777" w:rsidR="00C50C28" w:rsidRPr="00C50C28" w:rsidRDefault="00C50C28" w:rsidP="00C50C28">
            <w:pPr>
              <w:widowControl w:val="0"/>
              <w:jc w:val="both"/>
              <w:rPr>
                <w:b/>
                <w:bCs/>
                <w:szCs w:val="24"/>
                <w:lang w:eastAsia="lt-LT"/>
              </w:rPr>
            </w:pPr>
            <w:r w:rsidRPr="00C50C28">
              <w:rPr>
                <w:b/>
                <w:bCs/>
                <w:szCs w:val="24"/>
                <w:lang w:eastAsia="lt-LT"/>
              </w:rPr>
              <w:t xml:space="preserve">2022-06-09 </w:t>
            </w:r>
          </w:p>
          <w:p w14:paraId="2EBD9327" w14:textId="77777777" w:rsidR="00C50C28" w:rsidRPr="00C50C28" w:rsidRDefault="00C50C28" w:rsidP="00C50C28">
            <w:pPr>
              <w:widowControl w:val="0"/>
              <w:rPr>
                <w:b/>
                <w:color w:val="FF0000"/>
                <w:szCs w:val="24"/>
                <w:lang w:eastAsia="lt-LT"/>
              </w:rPr>
            </w:pPr>
            <w:r w:rsidRPr="00C50C28">
              <w:rPr>
                <w:b/>
                <w:color w:val="FF0000"/>
                <w:szCs w:val="24"/>
                <w:lang w:eastAsia="lt-LT"/>
              </w:rPr>
              <w:t>Neįgyvendinta</w:t>
            </w:r>
          </w:p>
          <w:p w14:paraId="39C31D6E" w14:textId="77777777" w:rsidR="00C50C28" w:rsidRPr="00C50C28" w:rsidRDefault="00C50C28" w:rsidP="00C50C28">
            <w:pPr>
              <w:widowControl w:val="0"/>
              <w:jc w:val="both"/>
              <w:rPr>
                <w:snapToGrid w:val="0"/>
                <w:szCs w:val="24"/>
                <w:lang w:eastAsia="lt-LT"/>
              </w:rPr>
            </w:pPr>
            <w:r w:rsidRPr="00C50C28">
              <w:rPr>
                <w:snapToGrid w:val="0"/>
                <w:szCs w:val="24"/>
                <w:lang w:eastAsia="lt-LT"/>
              </w:rPr>
              <w:t>Nenurodyta ar yra nustatyta tarnybinio patikrinimo bei klausimo dėl Ligoninės atlygintos žalos galimo regreso iš kaltų Ligoninės darbuotojų sprendimo tvarka.</w:t>
            </w:r>
          </w:p>
          <w:p w14:paraId="0D4CCBC6"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Nenurodyti de facto atlikti tarnybiniai patikrinimai ar auditai, TLK atlikus patikrinimą ir nustačius gydytojų pareigų pažeidimo faktus. Nenurodyta kokių priemonių buvo imtasi užtikrinant tinkamą atsakingų asmenų teisinės atsakomybės įvertinimą, tobulinant teisės pažeidimų prevenciją ir kuriant korupcijai atsparią aplinką. </w:t>
            </w:r>
          </w:p>
          <w:p w14:paraId="563210FE" w14:textId="77777777" w:rsidR="00C50C28" w:rsidRPr="00C50C28" w:rsidRDefault="00C50C28" w:rsidP="00C50C28">
            <w:pPr>
              <w:widowControl w:val="0"/>
              <w:rPr>
                <w:snapToGrid w:val="0"/>
                <w:szCs w:val="24"/>
                <w:lang w:eastAsia="lt-LT"/>
              </w:rPr>
            </w:pPr>
          </w:p>
          <w:p w14:paraId="59C2C49A" w14:textId="77777777" w:rsidR="00C50C28" w:rsidRPr="00C50C28" w:rsidRDefault="00C50C28" w:rsidP="00C50C28">
            <w:pPr>
              <w:widowControl w:val="0"/>
              <w:rPr>
                <w:snapToGrid w:val="0"/>
                <w:szCs w:val="24"/>
                <w:lang w:eastAsia="lt-LT"/>
              </w:rPr>
            </w:pPr>
            <w:r w:rsidRPr="00C50C28">
              <w:rPr>
                <w:snapToGrid w:val="0"/>
                <w:szCs w:val="24"/>
                <w:lang w:eastAsia="lt-LT"/>
              </w:rPr>
              <w:t>Stebėsena tęsiama</w:t>
            </w:r>
          </w:p>
          <w:p w14:paraId="1FFD2A1B" w14:textId="77777777" w:rsidR="00C50C28" w:rsidRPr="00C50C28" w:rsidRDefault="00C50C28" w:rsidP="00C50C28">
            <w:pPr>
              <w:widowControl w:val="0"/>
              <w:rPr>
                <w:snapToGrid w:val="0"/>
                <w:szCs w:val="24"/>
                <w:lang w:eastAsia="lt-LT"/>
              </w:rPr>
            </w:pPr>
          </w:p>
        </w:tc>
      </w:tr>
      <w:tr w:rsidR="00C50C28" w:rsidRPr="00C50C28" w14:paraId="3BED35A7" w14:textId="77777777" w:rsidTr="009E0638">
        <w:tc>
          <w:tcPr>
            <w:tcW w:w="3539" w:type="dxa"/>
            <w:vMerge/>
          </w:tcPr>
          <w:p w14:paraId="4804628E" w14:textId="77777777" w:rsidR="00C50C28" w:rsidRPr="00C50C28" w:rsidRDefault="00C50C28" w:rsidP="00C50C28">
            <w:pPr>
              <w:widowControl w:val="0"/>
              <w:tabs>
                <w:tab w:val="left" w:pos="731"/>
              </w:tabs>
              <w:jc w:val="both"/>
              <w:rPr>
                <w:snapToGrid w:val="0"/>
                <w:szCs w:val="24"/>
                <w:lang w:eastAsia="lt-LT"/>
              </w:rPr>
            </w:pPr>
          </w:p>
        </w:tc>
        <w:tc>
          <w:tcPr>
            <w:tcW w:w="3544" w:type="dxa"/>
            <w:vMerge/>
          </w:tcPr>
          <w:p w14:paraId="6B45B308" w14:textId="77777777" w:rsidR="00C50C28" w:rsidRPr="00C50C28" w:rsidRDefault="00C50C28" w:rsidP="00C50C28">
            <w:pPr>
              <w:widowControl w:val="0"/>
              <w:jc w:val="both"/>
              <w:rPr>
                <w:snapToGrid w:val="0"/>
                <w:szCs w:val="24"/>
                <w:lang w:eastAsia="lt-LT"/>
              </w:rPr>
            </w:pPr>
          </w:p>
        </w:tc>
        <w:tc>
          <w:tcPr>
            <w:tcW w:w="3827" w:type="dxa"/>
          </w:tcPr>
          <w:p w14:paraId="6BF224C0"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4378DADA" w14:textId="77777777" w:rsidR="00C50C28" w:rsidRPr="00C50C28" w:rsidRDefault="00C50C28" w:rsidP="00C50C28">
            <w:pPr>
              <w:autoSpaceDE w:val="0"/>
              <w:autoSpaceDN w:val="0"/>
              <w:adjustRightInd w:val="0"/>
              <w:jc w:val="both"/>
              <w:rPr>
                <w:b/>
                <w:bCs/>
                <w:szCs w:val="24"/>
                <w:lang w:eastAsia="lt-LT"/>
              </w:rPr>
            </w:pPr>
            <w:r w:rsidRPr="00C50C28">
              <w:rPr>
                <w:rFonts w:ascii="CIDFont+F2" w:eastAsia="Calibri" w:hAnsi="CIDFont+F2" w:cs="CIDFont+F2"/>
                <w:sz w:val="23"/>
                <w:szCs w:val="23"/>
              </w:rPr>
              <w:t>TLK nenustatė ligoninės ortopedų  traumatologų pareigų pažeidimo faktų 2022 m.</w:t>
            </w:r>
          </w:p>
        </w:tc>
        <w:tc>
          <w:tcPr>
            <w:tcW w:w="3827" w:type="dxa"/>
          </w:tcPr>
          <w:p w14:paraId="0E70B5D7"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14FCA803" w14:textId="77777777" w:rsidR="00C50C28" w:rsidRPr="00C50C28" w:rsidRDefault="00C50C28" w:rsidP="00C50C28">
            <w:pPr>
              <w:widowControl w:val="0"/>
              <w:jc w:val="both"/>
              <w:rPr>
                <w:b/>
                <w:bCs/>
                <w:color w:val="00B050"/>
                <w:szCs w:val="24"/>
                <w:lang w:eastAsia="lt-LT"/>
              </w:rPr>
            </w:pPr>
            <w:r w:rsidRPr="00C50C28">
              <w:rPr>
                <w:b/>
                <w:bCs/>
                <w:color w:val="00B050"/>
                <w:szCs w:val="24"/>
                <w:lang w:eastAsia="lt-LT"/>
              </w:rPr>
              <w:t>Įgyvendinta</w:t>
            </w:r>
          </w:p>
          <w:p w14:paraId="3BC649B1" w14:textId="77777777" w:rsidR="00C50C28" w:rsidRPr="00C50C28" w:rsidRDefault="00C50C28" w:rsidP="00C50C28">
            <w:pPr>
              <w:widowControl w:val="0"/>
              <w:jc w:val="both"/>
              <w:rPr>
                <w:snapToGrid w:val="0"/>
                <w:szCs w:val="24"/>
                <w:lang w:eastAsia="lt-LT"/>
              </w:rPr>
            </w:pPr>
            <w:r w:rsidRPr="00C50C28">
              <w:rPr>
                <w:bCs/>
                <w:szCs w:val="24"/>
                <w:lang w:eastAsia="lt-LT"/>
              </w:rPr>
              <w:t xml:space="preserve">2021-2022 metais TLK pažeidimų KLUL atvejų nenustatė. </w:t>
            </w:r>
            <w:r w:rsidRPr="00C50C28">
              <w:rPr>
                <w:snapToGrid w:val="0"/>
                <w:szCs w:val="24"/>
                <w:lang w:eastAsia="lt-LT"/>
              </w:rPr>
              <w:t>Dėl atsitiktinio pažeidimų pobūdžio toliau stebėti pasiūlymo įgyvendinimą netikslinga.</w:t>
            </w:r>
          </w:p>
          <w:p w14:paraId="4105D388"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Siūlome KLUL po TLK patikrinimų atlyginus žalą PSDF biudžetui, </w:t>
            </w:r>
            <w:r w:rsidRPr="00C50C28">
              <w:rPr>
                <w:snapToGrid w:val="0"/>
                <w:szCs w:val="24"/>
                <w:lang w:eastAsia="lt-LT"/>
              </w:rPr>
              <w:lastRenderedPageBreak/>
              <w:t xml:space="preserve">pateikti STT susipažinti KLUL sprendimus dėl regreso iš kaltų asmenų. </w:t>
            </w:r>
          </w:p>
          <w:p w14:paraId="1790E625" w14:textId="77777777" w:rsidR="00C50C28" w:rsidRPr="00C50C28" w:rsidRDefault="00C50C28" w:rsidP="00C50C28">
            <w:pPr>
              <w:widowControl w:val="0"/>
              <w:rPr>
                <w:snapToGrid w:val="0"/>
                <w:szCs w:val="24"/>
                <w:lang w:eastAsia="lt-LT"/>
              </w:rPr>
            </w:pPr>
          </w:p>
          <w:p w14:paraId="2CD9D5D6" w14:textId="77777777" w:rsidR="00C50C28" w:rsidRPr="00C50C28" w:rsidRDefault="00C50C28" w:rsidP="00C50C28">
            <w:pPr>
              <w:widowControl w:val="0"/>
              <w:jc w:val="both"/>
              <w:rPr>
                <w:b/>
                <w:bCs/>
                <w:szCs w:val="24"/>
                <w:lang w:eastAsia="lt-LT"/>
              </w:rPr>
            </w:pPr>
            <w:r w:rsidRPr="00C50C28">
              <w:rPr>
                <w:snapToGrid w:val="0"/>
                <w:szCs w:val="24"/>
                <w:lang w:eastAsia="lt-LT"/>
              </w:rPr>
              <w:t>Stebėsena baigta</w:t>
            </w:r>
          </w:p>
        </w:tc>
      </w:tr>
      <w:tr w:rsidR="00C50C28" w:rsidRPr="00C50C28" w14:paraId="7B4C2627" w14:textId="77777777" w:rsidTr="009E0638">
        <w:tc>
          <w:tcPr>
            <w:tcW w:w="3539" w:type="dxa"/>
            <w:vMerge w:val="restart"/>
          </w:tcPr>
          <w:p w14:paraId="16302961" w14:textId="77777777" w:rsidR="00C50C28" w:rsidRPr="00C50C28" w:rsidRDefault="00C50C28" w:rsidP="00C50C28">
            <w:pPr>
              <w:widowControl w:val="0"/>
              <w:tabs>
                <w:tab w:val="left" w:pos="731"/>
              </w:tabs>
              <w:jc w:val="both"/>
              <w:rPr>
                <w:snapToGrid w:val="0"/>
                <w:szCs w:val="24"/>
                <w:lang w:eastAsia="lt-LT"/>
              </w:rPr>
            </w:pPr>
            <w:r w:rsidRPr="00C50C28">
              <w:rPr>
                <w:snapToGrid w:val="0"/>
                <w:szCs w:val="24"/>
                <w:lang w:eastAsia="lt-LT"/>
              </w:rPr>
              <w:lastRenderedPageBreak/>
              <w:t>2.2.5.</w:t>
            </w:r>
            <w:r w:rsidRPr="00C50C28">
              <w:rPr>
                <w:snapToGrid w:val="0"/>
                <w:szCs w:val="24"/>
                <w:lang w:eastAsia="lt-LT"/>
              </w:rPr>
              <w:tab/>
              <w:t>ASPĮ, neturėdama informacijos apie tiekėjų perleistas vertes ASPĮ sveikatos priežiūros specialistams ir juridinių asmenų ir asociacijų organizuotus ir finansuojamus profesinius (mokslinius) renginius, kuriuose dalyvauja ir gauna atlyginimą ASPĮ sveikatos priežiūros specialistai, negali vykdyti veiksmingos ASPĮ dirbančių sveikatos priežiūros specialistų privačių interesų deklaravimo vidaus kontrolės ir užtikrinti veiksmingos korupcijos prevencijos skiriant centralizuotai perkamas medicinos priemones, iš jų endoprotezus, pacientams (motyvai nurodyti išvados 4.5 skirsnyje).</w:t>
            </w:r>
          </w:p>
        </w:tc>
        <w:tc>
          <w:tcPr>
            <w:tcW w:w="3544" w:type="dxa"/>
            <w:vMerge w:val="restart"/>
          </w:tcPr>
          <w:p w14:paraId="50B01C52" w14:textId="77777777" w:rsidR="00C50C28" w:rsidRPr="00C50C28" w:rsidRDefault="00C50C28" w:rsidP="00C50C28">
            <w:pPr>
              <w:widowControl w:val="0"/>
              <w:jc w:val="both"/>
              <w:rPr>
                <w:snapToGrid w:val="0"/>
                <w:szCs w:val="24"/>
                <w:lang w:eastAsia="lt-LT"/>
              </w:rPr>
            </w:pPr>
            <w:r w:rsidRPr="00C50C28">
              <w:rPr>
                <w:snapToGrid w:val="0"/>
                <w:szCs w:val="24"/>
                <w:lang w:eastAsia="lt-LT"/>
              </w:rPr>
              <w:t>2.9. Įvertinti galimybę įpareigoti ASPĮ sveikatos priežiūros specialistus, kurie dalyvauja viešuosiuose pirkimuose, skiria pacientams ar kitaip naudoja medicinos priemones, įsigytas iš PSDF biudžeto lėšų, informuoti ASPĮ apie jų atlygintiną dalyvavimą centralizuotai įsigyjamų medicinos priemonių tiekėjų, asociacijų ar organizacijų, vienijančių sveikatos priežiūros specialistus, organizuojamuose ar finansuojamuose profesiniuose (moksliniuose) renginiuose, tyrimuose ar kituose projektuose, ir 3 metus tvarkyti duomenis apie įvykusio renginio, tyrimo ar kito projekto pavadinimą, datą, rėmėjus, juose dalyvavusius ASPĮ gydytojus (išvados 5 skyriaus 2.2.5 p nurodyta pastaba).</w:t>
            </w:r>
          </w:p>
        </w:tc>
        <w:tc>
          <w:tcPr>
            <w:tcW w:w="3827" w:type="dxa"/>
          </w:tcPr>
          <w:p w14:paraId="0F3B4478" w14:textId="77777777" w:rsidR="00C50C28" w:rsidRPr="00C50C28" w:rsidRDefault="00C50C28" w:rsidP="00C50C28">
            <w:pPr>
              <w:widowControl w:val="0"/>
              <w:jc w:val="both"/>
              <w:rPr>
                <w:b/>
                <w:bCs/>
                <w:szCs w:val="24"/>
                <w:lang w:eastAsia="lt-LT"/>
              </w:rPr>
            </w:pPr>
            <w:r w:rsidRPr="00C50C28">
              <w:rPr>
                <w:b/>
                <w:bCs/>
                <w:szCs w:val="24"/>
                <w:lang w:eastAsia="lt-LT"/>
              </w:rPr>
              <w:t xml:space="preserve">2022-05-25 </w:t>
            </w:r>
          </w:p>
          <w:p w14:paraId="6FBE586D"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Prevencinėse priemonėse numatyta periodiškai skelbti ligoninės internetiniame puslapyje informaciją apie gydytojų išvykas į stažuotes, konferencijas, seminarus ar kitus renginius organizuojamus ir finansuojamus medicinos priemonėmis prekiaujančiomis organizacijomis ir bendrovėmis, nurodant sumas, kuriomis buvo remti konkretūs gydytojai. </w:t>
            </w:r>
          </w:p>
        </w:tc>
        <w:tc>
          <w:tcPr>
            <w:tcW w:w="3827" w:type="dxa"/>
          </w:tcPr>
          <w:p w14:paraId="74534D93" w14:textId="77777777" w:rsidR="00C50C28" w:rsidRPr="00C50C28" w:rsidRDefault="00C50C28" w:rsidP="00C50C28">
            <w:pPr>
              <w:widowControl w:val="0"/>
              <w:jc w:val="both"/>
              <w:rPr>
                <w:b/>
                <w:bCs/>
                <w:szCs w:val="24"/>
                <w:lang w:eastAsia="lt-LT"/>
              </w:rPr>
            </w:pPr>
            <w:r w:rsidRPr="00C50C28">
              <w:rPr>
                <w:b/>
                <w:bCs/>
                <w:szCs w:val="24"/>
                <w:lang w:eastAsia="lt-LT"/>
              </w:rPr>
              <w:t xml:space="preserve">2022-06-09 </w:t>
            </w:r>
          </w:p>
          <w:p w14:paraId="3AD3E388" w14:textId="77777777" w:rsidR="00C50C28" w:rsidRPr="00C50C28" w:rsidRDefault="00C50C28" w:rsidP="00C50C28">
            <w:pPr>
              <w:rPr>
                <w:b/>
                <w:color w:val="00B0F0"/>
                <w:szCs w:val="24"/>
                <w:lang w:eastAsia="lt-LT"/>
              </w:rPr>
            </w:pPr>
            <w:r w:rsidRPr="00C50C28">
              <w:rPr>
                <w:b/>
                <w:color w:val="00B0F0"/>
                <w:szCs w:val="24"/>
                <w:lang w:eastAsia="lt-LT"/>
              </w:rPr>
              <w:t>Planuojama įgyvendinti</w:t>
            </w:r>
          </w:p>
          <w:p w14:paraId="6DCCBE3B" w14:textId="77777777" w:rsidR="00C50C28" w:rsidRPr="00C50C28" w:rsidRDefault="00C50C28" w:rsidP="00C50C28">
            <w:pPr>
              <w:widowControl w:val="0"/>
              <w:rPr>
                <w:snapToGrid w:val="0"/>
                <w:szCs w:val="24"/>
                <w:lang w:eastAsia="lt-LT"/>
              </w:rPr>
            </w:pPr>
          </w:p>
          <w:p w14:paraId="62AAD7DD"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Pritariame įstaigos pastangoms didinti skaidrumą ir viešinti informaciją apie medicinos pramonės įmonių remiamas įstaigos gydytojų išvykas į stažuotes, konferencijas, seminarus ar kitus renginius. Papildomai įgyvendinant šį STT pasiūlymą rekomenduojame išaiškinti sveikatos priežiūros specialistams, kurie dalyvauja viešuosiuose pirkimuose, skiria pacientams ar kitaip naudoja medicinos priemones, įsigytas iš PSDF biudžeto lėšų, apie jų pareigą, vykdant savo funkcijas, pagal Viešųjų ir privačių interesų deklaravimo įstatymo 6 straipsnio 2 dalį. deklaruoti savo ir jiems artimų asmenų interesus su juridiniais asmenimis, iš jų ir su nevyriausybinėmis organizacijomis, kurios gauna paramą iš tiekėjų. </w:t>
            </w:r>
          </w:p>
          <w:p w14:paraId="4F2831FE" w14:textId="77777777" w:rsidR="00C50C28" w:rsidRPr="00C50C28" w:rsidRDefault="00C50C28" w:rsidP="00C50C28">
            <w:pPr>
              <w:widowControl w:val="0"/>
              <w:jc w:val="both"/>
              <w:rPr>
                <w:snapToGrid w:val="0"/>
                <w:szCs w:val="24"/>
                <w:lang w:eastAsia="lt-LT"/>
              </w:rPr>
            </w:pPr>
          </w:p>
          <w:p w14:paraId="5412CF04" w14:textId="77777777" w:rsidR="00C50C28" w:rsidRPr="00C50C28" w:rsidRDefault="00C50C28" w:rsidP="00C50C28">
            <w:pPr>
              <w:widowControl w:val="0"/>
              <w:jc w:val="both"/>
              <w:rPr>
                <w:snapToGrid w:val="0"/>
                <w:szCs w:val="24"/>
                <w:lang w:eastAsia="lt-LT"/>
              </w:rPr>
            </w:pPr>
            <w:r w:rsidRPr="00C50C28">
              <w:rPr>
                <w:snapToGrid w:val="0"/>
                <w:szCs w:val="24"/>
                <w:lang w:eastAsia="lt-LT"/>
              </w:rPr>
              <w:t>Kita pasiūlymo dalis neaktuali</w:t>
            </w:r>
          </w:p>
          <w:p w14:paraId="709C9BF3" w14:textId="77777777" w:rsidR="00C50C28" w:rsidRPr="00C50C28" w:rsidRDefault="00C50C28" w:rsidP="00C50C28">
            <w:pPr>
              <w:widowControl w:val="0"/>
              <w:rPr>
                <w:snapToGrid w:val="0"/>
                <w:szCs w:val="24"/>
                <w:lang w:eastAsia="lt-LT"/>
              </w:rPr>
            </w:pPr>
          </w:p>
          <w:p w14:paraId="4317AEC4" w14:textId="77777777" w:rsidR="00C50C28" w:rsidRPr="00C50C28" w:rsidRDefault="00C50C28" w:rsidP="00C50C28">
            <w:pPr>
              <w:widowControl w:val="0"/>
              <w:rPr>
                <w:snapToGrid w:val="0"/>
                <w:szCs w:val="24"/>
                <w:lang w:eastAsia="lt-LT"/>
              </w:rPr>
            </w:pPr>
            <w:r w:rsidRPr="00C50C28">
              <w:rPr>
                <w:snapToGrid w:val="0"/>
                <w:szCs w:val="24"/>
                <w:lang w:eastAsia="lt-LT"/>
              </w:rPr>
              <w:t>Stebėsena tęsiama</w:t>
            </w:r>
          </w:p>
          <w:p w14:paraId="7E9867D8" w14:textId="77777777" w:rsidR="00C50C28" w:rsidRPr="00C50C28" w:rsidRDefault="00C50C28" w:rsidP="00C50C28">
            <w:pPr>
              <w:widowControl w:val="0"/>
              <w:rPr>
                <w:snapToGrid w:val="0"/>
                <w:szCs w:val="24"/>
                <w:lang w:eastAsia="lt-LT"/>
              </w:rPr>
            </w:pPr>
          </w:p>
          <w:p w14:paraId="37D4D716" w14:textId="77777777" w:rsidR="00C50C28" w:rsidRPr="00C50C28" w:rsidRDefault="00C50C28" w:rsidP="00C50C28">
            <w:pPr>
              <w:widowControl w:val="0"/>
              <w:rPr>
                <w:snapToGrid w:val="0"/>
                <w:szCs w:val="24"/>
                <w:lang w:eastAsia="lt-LT"/>
              </w:rPr>
            </w:pPr>
          </w:p>
        </w:tc>
      </w:tr>
      <w:tr w:rsidR="00C50C28" w:rsidRPr="00C50C28" w14:paraId="5C2D2CD2" w14:textId="77777777" w:rsidTr="009E0638">
        <w:tc>
          <w:tcPr>
            <w:tcW w:w="3539" w:type="dxa"/>
            <w:vMerge/>
          </w:tcPr>
          <w:p w14:paraId="3360AB18" w14:textId="77777777" w:rsidR="00C50C28" w:rsidRPr="00C50C28" w:rsidRDefault="00C50C28" w:rsidP="00C50C28">
            <w:pPr>
              <w:widowControl w:val="0"/>
              <w:tabs>
                <w:tab w:val="left" w:pos="731"/>
              </w:tabs>
              <w:jc w:val="both"/>
              <w:rPr>
                <w:snapToGrid w:val="0"/>
                <w:szCs w:val="24"/>
                <w:lang w:eastAsia="lt-LT"/>
              </w:rPr>
            </w:pPr>
          </w:p>
        </w:tc>
        <w:tc>
          <w:tcPr>
            <w:tcW w:w="3544" w:type="dxa"/>
            <w:vMerge/>
          </w:tcPr>
          <w:p w14:paraId="1E907430" w14:textId="77777777" w:rsidR="00C50C28" w:rsidRPr="00C50C28" w:rsidRDefault="00C50C28" w:rsidP="00C50C28">
            <w:pPr>
              <w:widowControl w:val="0"/>
              <w:jc w:val="both"/>
              <w:rPr>
                <w:snapToGrid w:val="0"/>
                <w:szCs w:val="24"/>
                <w:lang w:eastAsia="lt-LT"/>
              </w:rPr>
            </w:pPr>
          </w:p>
        </w:tc>
        <w:tc>
          <w:tcPr>
            <w:tcW w:w="3827" w:type="dxa"/>
          </w:tcPr>
          <w:p w14:paraId="26C61F52"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19AC4404" w14:textId="77777777" w:rsidR="00C50C28" w:rsidRPr="00C50C28" w:rsidRDefault="00C50C28" w:rsidP="00C50C28">
            <w:pPr>
              <w:widowControl w:val="0"/>
              <w:jc w:val="both"/>
              <w:rPr>
                <w:b/>
                <w:bCs/>
                <w:szCs w:val="24"/>
                <w:lang w:eastAsia="lt-LT"/>
              </w:rPr>
            </w:pPr>
            <w:r w:rsidRPr="00C50C28">
              <w:rPr>
                <w:bCs/>
                <w:szCs w:val="24"/>
                <w:lang w:eastAsia="lt-LT"/>
              </w:rPr>
              <w:t>Apie 2022 m. išvykų į stažuotes, konferencijas, seminarus, finansuojamus medicinos priemonėmis prekiaujančiomis organizacijomis ir bendrovėmis, informacijos neturime</w:t>
            </w:r>
          </w:p>
        </w:tc>
        <w:tc>
          <w:tcPr>
            <w:tcW w:w="3827" w:type="dxa"/>
          </w:tcPr>
          <w:p w14:paraId="00B9FBEA"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7A01E4CB" w14:textId="77777777" w:rsidR="00C50C28" w:rsidRPr="00C50C28" w:rsidRDefault="00C50C28" w:rsidP="00C50C28">
            <w:pPr>
              <w:widowControl w:val="0"/>
              <w:jc w:val="both"/>
              <w:rPr>
                <w:b/>
                <w:snapToGrid w:val="0"/>
                <w:color w:val="FF0000"/>
                <w:szCs w:val="24"/>
                <w:lang w:eastAsia="lt-LT"/>
              </w:rPr>
            </w:pPr>
            <w:r w:rsidRPr="00C50C28">
              <w:rPr>
                <w:b/>
                <w:snapToGrid w:val="0"/>
                <w:color w:val="FF0000"/>
                <w:szCs w:val="24"/>
                <w:lang w:eastAsia="lt-LT"/>
              </w:rPr>
              <w:t>Neįgyvendinta</w:t>
            </w:r>
          </w:p>
          <w:p w14:paraId="35B34712"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KLUL Interneto puslapyje skelbiamų Prevencinių priemonių 2 punkte nurodyta, kad KLUL planuoja </w:t>
            </w:r>
            <w:r w:rsidRPr="00C50C28">
              <w:rPr>
                <w:i/>
                <w:snapToGrid w:val="0"/>
                <w:szCs w:val="24"/>
                <w:lang w:eastAsia="lt-LT"/>
              </w:rPr>
              <w:t>periodiškai skelbti ligoninės internetiniame puslapyje informaciją apie gydytojų išvykas į stažuotes, konferencijas, seminarus ar kitus renginius organizuojamus ir finansuojamus medicinos priemonėmis prekiaujančiomis organizacijomis ir bendrovėmis, nurodant sumas, kuriomis buvo remti konkretūs gydytojai</w:t>
            </w:r>
            <w:r w:rsidRPr="00C50C28">
              <w:rPr>
                <w:snapToGrid w:val="0"/>
                <w:szCs w:val="24"/>
                <w:lang w:eastAsia="lt-LT"/>
              </w:rPr>
              <w:t xml:space="preserve">. </w:t>
            </w:r>
          </w:p>
          <w:p w14:paraId="39BA3E34" w14:textId="77777777" w:rsidR="00C50C28" w:rsidRPr="00C50C28" w:rsidRDefault="00C50C28" w:rsidP="00C50C28">
            <w:pPr>
              <w:widowControl w:val="0"/>
              <w:jc w:val="both"/>
              <w:rPr>
                <w:snapToGrid w:val="0"/>
                <w:szCs w:val="24"/>
                <w:lang w:eastAsia="lt-LT"/>
              </w:rPr>
            </w:pPr>
            <w:r w:rsidRPr="00C50C28">
              <w:rPr>
                <w:snapToGrid w:val="0"/>
                <w:szCs w:val="24"/>
                <w:lang w:eastAsia="lt-LT"/>
              </w:rPr>
              <w:t>Vertinant pasiūlymo įgyvendinimo padėtį 2023 m., paaiškėjo, kad KLUL viešai deklaravo šį ketinimą, tačiau jokių jo įgyvendinimo priemonių nesiėmė ir pasiūlymo neįgyvendino</w:t>
            </w:r>
            <w:r w:rsidRPr="00C50C28">
              <w:rPr>
                <w:snapToGrid w:val="0"/>
                <w:szCs w:val="24"/>
                <w:vertAlign w:val="superscript"/>
                <w:lang w:eastAsia="lt-LT"/>
              </w:rPr>
              <w:footnoteReference w:id="4"/>
            </w:r>
            <w:r w:rsidRPr="00C50C28">
              <w:rPr>
                <w:snapToGrid w:val="0"/>
                <w:szCs w:val="24"/>
                <w:lang w:eastAsia="lt-LT"/>
              </w:rPr>
              <w:t>.</w:t>
            </w:r>
          </w:p>
          <w:p w14:paraId="38F1215D"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Siūlome KLUL, įgyvendinant šį STT pasiūlymą, parengti ir patvirtinti išankstines privačių interesų deklaravimo rekomendacijas, kuriose </w:t>
            </w:r>
            <w:r w:rsidRPr="00C50C28">
              <w:rPr>
                <w:bCs/>
                <w:szCs w:val="24"/>
                <w:lang w:eastAsia="lt-LT"/>
              </w:rPr>
              <w:t xml:space="preserve">gydytojams, pateikiant asociatyvius pavyzdžius, išaiškinti atvejus kada skiriant medicinos pagalbos priemones įsigytas iš PSDF lėšų gydytojams gali kilti interesų </w:t>
            </w:r>
            <w:r w:rsidRPr="00C50C28">
              <w:rPr>
                <w:bCs/>
                <w:szCs w:val="24"/>
                <w:lang w:eastAsia="lt-LT"/>
              </w:rPr>
              <w:lastRenderedPageBreak/>
              <w:t>konfliktas</w:t>
            </w:r>
            <w:r w:rsidRPr="00C50C28">
              <w:rPr>
                <w:snapToGrid w:val="0"/>
                <w:szCs w:val="24"/>
                <w:vertAlign w:val="superscript"/>
                <w:lang w:eastAsia="lt-LT"/>
              </w:rPr>
              <w:t xml:space="preserve"> </w:t>
            </w:r>
            <w:r w:rsidRPr="00C50C28">
              <w:rPr>
                <w:snapToGrid w:val="0"/>
                <w:szCs w:val="24"/>
                <w:vertAlign w:val="superscript"/>
                <w:lang w:eastAsia="lt-LT"/>
              </w:rPr>
              <w:footnoteReference w:id="5"/>
            </w:r>
            <w:r w:rsidRPr="00C50C28">
              <w:rPr>
                <w:snapToGrid w:val="0"/>
                <w:szCs w:val="24"/>
                <w:lang w:eastAsia="lt-LT"/>
              </w:rPr>
              <w:t>.</w:t>
            </w:r>
          </w:p>
          <w:p w14:paraId="1599C9C6" w14:textId="77777777" w:rsidR="00C50C28" w:rsidRPr="00C50C28" w:rsidRDefault="00C50C28" w:rsidP="00C50C28">
            <w:pPr>
              <w:widowControl w:val="0"/>
              <w:jc w:val="both"/>
              <w:rPr>
                <w:snapToGrid w:val="0"/>
                <w:szCs w:val="24"/>
                <w:lang w:eastAsia="lt-LT"/>
              </w:rPr>
            </w:pPr>
            <w:r w:rsidRPr="00C50C28">
              <w:rPr>
                <w:snapToGrid w:val="0"/>
                <w:szCs w:val="24"/>
                <w:lang w:eastAsia="lt-LT"/>
              </w:rPr>
              <w:t>(detalesnis STT vertinimas ir argumentai pateikti prie 2.5 pasiūlymo įgyvendinimo vertinimo)</w:t>
            </w:r>
          </w:p>
          <w:p w14:paraId="47DE745D" w14:textId="77777777" w:rsidR="00C50C28" w:rsidRPr="00C50C28" w:rsidRDefault="00C50C28" w:rsidP="00C50C28">
            <w:pPr>
              <w:widowControl w:val="0"/>
              <w:jc w:val="both"/>
              <w:rPr>
                <w:snapToGrid w:val="0"/>
                <w:szCs w:val="24"/>
                <w:lang w:eastAsia="lt-LT"/>
              </w:rPr>
            </w:pPr>
            <w:r w:rsidRPr="00C50C28">
              <w:rPr>
                <w:snapToGrid w:val="0"/>
                <w:szCs w:val="24"/>
                <w:lang w:eastAsia="lt-LT"/>
              </w:rPr>
              <w:t>Taip pat siūlome įtraukti šio pasiūlymo įgyvendinimo veiksmus į KLUL korupcijos prevencijos veiksmų planą.</w:t>
            </w:r>
          </w:p>
          <w:p w14:paraId="3C22FFE8" w14:textId="77777777" w:rsidR="00C50C28" w:rsidRPr="00C50C28" w:rsidRDefault="00C50C28" w:rsidP="00C50C28">
            <w:pPr>
              <w:widowControl w:val="0"/>
              <w:jc w:val="both"/>
              <w:rPr>
                <w:snapToGrid w:val="0"/>
                <w:szCs w:val="24"/>
                <w:lang w:eastAsia="lt-LT"/>
              </w:rPr>
            </w:pPr>
          </w:p>
          <w:p w14:paraId="25C0453E" w14:textId="77777777" w:rsidR="00C50C28" w:rsidRPr="00C50C28" w:rsidRDefault="00C50C28" w:rsidP="00C50C28">
            <w:pPr>
              <w:widowControl w:val="0"/>
              <w:jc w:val="both"/>
              <w:rPr>
                <w:bCs/>
                <w:szCs w:val="24"/>
                <w:lang w:eastAsia="lt-LT"/>
              </w:rPr>
            </w:pPr>
            <w:r w:rsidRPr="00C50C28">
              <w:rPr>
                <w:snapToGrid w:val="0"/>
                <w:szCs w:val="24"/>
                <w:lang w:eastAsia="lt-LT"/>
              </w:rPr>
              <w:t>Stebėsena tęsiama</w:t>
            </w:r>
          </w:p>
        </w:tc>
      </w:tr>
      <w:tr w:rsidR="00C50C28" w:rsidRPr="00C50C28" w14:paraId="01ADD32B" w14:textId="77777777" w:rsidTr="009E0638">
        <w:tc>
          <w:tcPr>
            <w:tcW w:w="3539" w:type="dxa"/>
            <w:vMerge/>
          </w:tcPr>
          <w:p w14:paraId="4C1D5133" w14:textId="77777777" w:rsidR="00C50C28" w:rsidRPr="00C50C28" w:rsidRDefault="00C50C28" w:rsidP="00C50C28">
            <w:pPr>
              <w:widowControl w:val="0"/>
              <w:tabs>
                <w:tab w:val="left" w:pos="731"/>
              </w:tabs>
              <w:jc w:val="both"/>
              <w:rPr>
                <w:snapToGrid w:val="0"/>
                <w:szCs w:val="24"/>
                <w:lang w:eastAsia="lt-LT"/>
              </w:rPr>
            </w:pPr>
          </w:p>
        </w:tc>
        <w:tc>
          <w:tcPr>
            <w:tcW w:w="3544" w:type="dxa"/>
            <w:vMerge/>
          </w:tcPr>
          <w:p w14:paraId="1BC0F45C" w14:textId="77777777" w:rsidR="00C50C28" w:rsidRPr="00C50C28" w:rsidRDefault="00C50C28" w:rsidP="00C50C28">
            <w:pPr>
              <w:widowControl w:val="0"/>
              <w:jc w:val="both"/>
              <w:rPr>
                <w:snapToGrid w:val="0"/>
                <w:szCs w:val="24"/>
                <w:lang w:eastAsia="lt-LT"/>
              </w:rPr>
            </w:pPr>
          </w:p>
        </w:tc>
        <w:tc>
          <w:tcPr>
            <w:tcW w:w="3827" w:type="dxa"/>
          </w:tcPr>
          <w:p w14:paraId="546B374D" w14:textId="77777777" w:rsidR="00C50C28" w:rsidRPr="00C50C28" w:rsidRDefault="00C50C28" w:rsidP="00C50C28">
            <w:pPr>
              <w:widowControl w:val="0"/>
              <w:jc w:val="both"/>
              <w:rPr>
                <w:b/>
                <w:bCs/>
                <w:szCs w:val="24"/>
                <w:lang w:eastAsia="lt-LT"/>
              </w:rPr>
            </w:pPr>
            <w:r w:rsidRPr="00C50C28">
              <w:rPr>
                <w:b/>
                <w:bCs/>
                <w:szCs w:val="24"/>
                <w:lang w:eastAsia="lt-LT"/>
              </w:rPr>
              <w:t>2023-12-11</w:t>
            </w:r>
          </w:p>
          <w:p w14:paraId="3035628F" w14:textId="77777777" w:rsidR="00C50C28" w:rsidRPr="00C50C28" w:rsidRDefault="00C50C28" w:rsidP="00C50C28">
            <w:pPr>
              <w:jc w:val="both"/>
              <w:rPr>
                <w:szCs w:val="24"/>
              </w:rPr>
            </w:pPr>
            <w:r w:rsidRPr="00C50C28">
              <w:rPr>
                <w:szCs w:val="24"/>
              </w:rPr>
              <w:t xml:space="preserve">2023 m. buvo atlikta </w:t>
            </w:r>
            <w:r w:rsidRPr="00C50C28">
              <w:rPr>
                <w:snapToGrid w:val="0"/>
                <w:szCs w:val="24"/>
              </w:rPr>
              <w:t>gydytojų traumatologų ortopedų išvykų į stažuotes, konferencijas, seminarus ar kitus renginius analizė už 2023 m. I-mą pusmetį.</w:t>
            </w:r>
            <w:r w:rsidRPr="00C50C28">
              <w:rPr>
                <w:szCs w:val="24"/>
              </w:rPr>
              <w:t xml:space="preserve"> Per </w:t>
            </w:r>
            <w:r w:rsidRPr="00C50C28">
              <w:rPr>
                <w:snapToGrid w:val="0"/>
                <w:szCs w:val="24"/>
              </w:rPr>
              <w:t>2023 m. I-mą pusmetį</w:t>
            </w:r>
            <w:r w:rsidRPr="00C50C28">
              <w:rPr>
                <w:szCs w:val="24"/>
              </w:rPr>
              <w:t xml:space="preserve"> vyko 6 gydytojai ortopedai traumatologai.</w:t>
            </w:r>
          </w:p>
          <w:p w14:paraId="0B12DCC6" w14:textId="77777777" w:rsidR="00C50C28" w:rsidRPr="00C50C28" w:rsidRDefault="00C50C28" w:rsidP="00C50C28">
            <w:pPr>
              <w:jc w:val="both"/>
              <w:rPr>
                <w:snapToGrid w:val="0"/>
                <w:szCs w:val="24"/>
              </w:rPr>
            </w:pPr>
            <w:r w:rsidRPr="00C50C28">
              <w:rPr>
                <w:snapToGrid w:val="0"/>
                <w:szCs w:val="24"/>
              </w:rPr>
              <w:t xml:space="preserve">Gydytojų traumatologų ortopedų išvykų, kurias finansavo medicinos priemonėmis prekiaujančios organizacijos ir bendrovės, nenustatyta. </w:t>
            </w:r>
          </w:p>
          <w:p w14:paraId="59592099" w14:textId="77777777" w:rsidR="004608BE" w:rsidRPr="001D1C9A" w:rsidRDefault="004608BE" w:rsidP="004608BE">
            <w:pPr>
              <w:widowControl w:val="0"/>
              <w:jc w:val="both"/>
              <w:rPr>
                <w:b/>
                <w:bCs/>
                <w:snapToGrid w:val="0"/>
                <w:szCs w:val="24"/>
                <w:lang w:eastAsia="lt-LT"/>
              </w:rPr>
            </w:pPr>
            <w:r w:rsidRPr="001D1C9A">
              <w:rPr>
                <w:b/>
                <w:bCs/>
                <w:snapToGrid w:val="0"/>
                <w:szCs w:val="24"/>
                <w:lang w:eastAsia="lt-LT"/>
              </w:rPr>
              <w:t>2024-01-15</w:t>
            </w:r>
          </w:p>
          <w:p w14:paraId="58993FD5" w14:textId="77777777" w:rsidR="00C50C28" w:rsidRDefault="004608BE" w:rsidP="004608BE">
            <w:pPr>
              <w:widowControl w:val="0"/>
              <w:jc w:val="both"/>
              <w:rPr>
                <w:snapToGrid w:val="0"/>
                <w:szCs w:val="24"/>
                <w:lang w:eastAsia="lt-LT"/>
              </w:rPr>
            </w:pPr>
            <w:r w:rsidRPr="001D1C9A">
              <w:rPr>
                <w:snapToGrid w:val="0"/>
                <w:szCs w:val="24"/>
                <w:lang w:eastAsia="lt-LT"/>
              </w:rPr>
              <w:t>Siūlomos prevencinėse priemonės įtrauktos į atnaujintą KLUL korupcijos prevencijos veiksmų planą.</w:t>
            </w:r>
          </w:p>
          <w:p w14:paraId="578E39EF" w14:textId="77777777" w:rsidR="001D1C9A" w:rsidRDefault="001D1C9A" w:rsidP="004608BE">
            <w:pPr>
              <w:widowControl w:val="0"/>
              <w:jc w:val="both"/>
              <w:rPr>
                <w:bCs/>
                <w:snapToGrid w:val="0"/>
                <w:szCs w:val="24"/>
                <w:lang w:eastAsia="lt-LT"/>
              </w:rPr>
            </w:pPr>
          </w:p>
          <w:p w14:paraId="209F3C5C" w14:textId="77777777" w:rsidR="001D1C9A" w:rsidRPr="001D1C9A" w:rsidRDefault="001D1C9A" w:rsidP="004608BE">
            <w:pPr>
              <w:widowControl w:val="0"/>
              <w:jc w:val="both"/>
              <w:rPr>
                <w:b/>
                <w:snapToGrid w:val="0"/>
                <w:color w:val="7030A0"/>
                <w:szCs w:val="24"/>
                <w:lang w:eastAsia="lt-LT"/>
              </w:rPr>
            </w:pPr>
            <w:r w:rsidRPr="001D1C9A">
              <w:rPr>
                <w:b/>
                <w:snapToGrid w:val="0"/>
                <w:color w:val="7030A0"/>
                <w:szCs w:val="24"/>
                <w:lang w:eastAsia="lt-LT"/>
              </w:rPr>
              <w:lastRenderedPageBreak/>
              <w:t>2024.11.27</w:t>
            </w:r>
          </w:p>
          <w:p w14:paraId="48BCDCFD" w14:textId="0F7A8EBB" w:rsidR="001D1C9A" w:rsidRDefault="001D1C9A" w:rsidP="004608BE">
            <w:pPr>
              <w:widowControl w:val="0"/>
              <w:jc w:val="both"/>
              <w:rPr>
                <w:bCs/>
                <w:snapToGrid w:val="0"/>
                <w:color w:val="7030A0"/>
                <w:szCs w:val="24"/>
                <w:lang w:eastAsia="lt-LT"/>
              </w:rPr>
            </w:pPr>
            <w:r w:rsidRPr="001D1C9A">
              <w:rPr>
                <w:bCs/>
                <w:snapToGrid w:val="0"/>
                <w:color w:val="7030A0"/>
                <w:szCs w:val="24"/>
                <w:lang w:eastAsia="lt-LT"/>
              </w:rPr>
              <w:t xml:space="preserve">1. </w:t>
            </w:r>
            <w:r>
              <w:rPr>
                <w:bCs/>
                <w:snapToGrid w:val="0"/>
                <w:color w:val="7030A0"/>
                <w:szCs w:val="24"/>
                <w:lang w:eastAsia="lt-LT"/>
              </w:rPr>
              <w:t>Periodinė g</w:t>
            </w:r>
            <w:r w:rsidRPr="001D1C9A">
              <w:rPr>
                <w:bCs/>
                <w:snapToGrid w:val="0"/>
                <w:color w:val="7030A0"/>
                <w:szCs w:val="24"/>
                <w:lang w:eastAsia="lt-LT"/>
              </w:rPr>
              <w:t>ydytojų traumatologų ortopedų išvykų</w:t>
            </w:r>
            <w:r>
              <w:rPr>
                <w:bCs/>
                <w:snapToGrid w:val="0"/>
                <w:color w:val="7030A0"/>
                <w:szCs w:val="24"/>
                <w:lang w:eastAsia="lt-LT"/>
              </w:rPr>
              <w:t xml:space="preserve"> patikra įgyvendinta ir tęsiama (pridedama)</w:t>
            </w:r>
          </w:p>
          <w:p w14:paraId="7E2DEE66" w14:textId="77777777" w:rsidR="00970101" w:rsidRDefault="00970101" w:rsidP="004608BE">
            <w:pPr>
              <w:widowControl w:val="0"/>
              <w:jc w:val="both"/>
              <w:rPr>
                <w:bCs/>
                <w:snapToGrid w:val="0"/>
                <w:color w:val="7030A0"/>
                <w:szCs w:val="24"/>
                <w:lang w:eastAsia="lt-LT"/>
              </w:rPr>
            </w:pPr>
          </w:p>
          <w:p w14:paraId="52D67D62" w14:textId="33135801" w:rsidR="001D1C9A" w:rsidRPr="001D1C9A" w:rsidRDefault="001D1C9A" w:rsidP="004608BE">
            <w:pPr>
              <w:widowControl w:val="0"/>
              <w:jc w:val="both"/>
              <w:rPr>
                <w:bCs/>
                <w:snapToGrid w:val="0"/>
                <w:color w:val="7030A0"/>
                <w:szCs w:val="24"/>
                <w:lang w:eastAsia="lt-LT"/>
              </w:rPr>
            </w:pPr>
            <w:r>
              <w:rPr>
                <w:bCs/>
                <w:snapToGrid w:val="0"/>
                <w:color w:val="7030A0"/>
                <w:szCs w:val="24"/>
                <w:lang w:eastAsia="lt-LT"/>
              </w:rPr>
              <w:t>2.</w:t>
            </w:r>
            <w:r w:rsidRPr="001D1C9A">
              <w:rPr>
                <w:bCs/>
                <w:snapToGrid w:val="0"/>
                <w:color w:val="7030A0"/>
                <w:szCs w:val="24"/>
                <w:lang w:eastAsia="lt-LT"/>
              </w:rPr>
              <w:t>Rekomendacijos ir mokymų medžiaga yra parengtos (pridedama)</w:t>
            </w:r>
          </w:p>
          <w:p w14:paraId="6DAC3CB8" w14:textId="02A1C0EC" w:rsidR="001D1C9A" w:rsidRPr="001D1C9A" w:rsidRDefault="001D1C9A" w:rsidP="004608BE">
            <w:pPr>
              <w:widowControl w:val="0"/>
              <w:jc w:val="both"/>
              <w:rPr>
                <w:bCs/>
                <w:szCs w:val="24"/>
                <w:lang w:eastAsia="lt-LT"/>
              </w:rPr>
            </w:pPr>
          </w:p>
        </w:tc>
        <w:tc>
          <w:tcPr>
            <w:tcW w:w="3827" w:type="dxa"/>
          </w:tcPr>
          <w:p w14:paraId="03A23FCE" w14:textId="77777777" w:rsidR="00C50C28" w:rsidRPr="00C50C28" w:rsidRDefault="00C50C28" w:rsidP="00C50C28">
            <w:pPr>
              <w:widowControl w:val="0"/>
              <w:jc w:val="both"/>
              <w:rPr>
                <w:b/>
                <w:bCs/>
                <w:szCs w:val="24"/>
                <w:lang w:eastAsia="lt-LT"/>
              </w:rPr>
            </w:pPr>
            <w:r w:rsidRPr="00C50C28">
              <w:rPr>
                <w:b/>
                <w:bCs/>
                <w:szCs w:val="24"/>
                <w:lang w:eastAsia="lt-LT"/>
              </w:rPr>
              <w:lastRenderedPageBreak/>
              <w:t>2023-12-12</w:t>
            </w:r>
          </w:p>
          <w:p w14:paraId="0276771D" w14:textId="77777777" w:rsidR="00C50C28" w:rsidRPr="00C50C28" w:rsidRDefault="00C50C28" w:rsidP="00C50C28">
            <w:pPr>
              <w:widowControl w:val="0"/>
              <w:jc w:val="both"/>
              <w:rPr>
                <w:b/>
                <w:bCs/>
                <w:szCs w:val="24"/>
                <w:lang w:eastAsia="lt-LT"/>
              </w:rPr>
            </w:pPr>
            <w:r w:rsidRPr="00C50C28">
              <w:rPr>
                <w:b/>
                <w:bCs/>
                <w:color w:val="FF0000"/>
                <w:szCs w:val="24"/>
                <w:lang w:eastAsia="lt-LT"/>
              </w:rPr>
              <w:t>Neįgyvendinta</w:t>
            </w:r>
          </w:p>
          <w:p w14:paraId="15C44CA2" w14:textId="77777777" w:rsidR="00C50C28" w:rsidRPr="00C50C28" w:rsidRDefault="00C50C28" w:rsidP="00C50C28">
            <w:pPr>
              <w:widowControl w:val="0"/>
              <w:jc w:val="both"/>
              <w:rPr>
                <w:bCs/>
                <w:szCs w:val="24"/>
                <w:lang w:eastAsia="lt-LT"/>
              </w:rPr>
            </w:pPr>
            <w:r w:rsidRPr="00C50C28">
              <w:rPr>
                <w:snapToGrid w:val="0"/>
                <w:szCs w:val="24"/>
                <w:lang w:eastAsia="lt-LT"/>
              </w:rPr>
              <w:t>KLUL interneto svetainėje nebeliko anksčiau skelbtų Prevencinių priemonių, kuriose buvo planuojamas šio pasiūlymo įgyvendinimas. 2023-08-28 paskelbtame KLUL:</w:t>
            </w:r>
            <w:r w:rsidRPr="00C50C28">
              <w:rPr>
                <w:bCs/>
                <w:szCs w:val="24"/>
                <w:lang w:eastAsia="lt-LT"/>
              </w:rPr>
              <w:t xml:space="preserve">2023-2025 m. korupcijos prevencijos plane be bendrų mokymų </w:t>
            </w:r>
          </w:p>
          <w:p w14:paraId="26BCA611" w14:textId="77777777" w:rsidR="00C50C28" w:rsidRPr="00C50C28" w:rsidRDefault="00C50C28" w:rsidP="00C50C28">
            <w:pPr>
              <w:autoSpaceDE w:val="0"/>
              <w:autoSpaceDN w:val="0"/>
              <w:adjustRightInd w:val="0"/>
              <w:jc w:val="both"/>
              <w:rPr>
                <w:color w:val="000000"/>
                <w:sz w:val="23"/>
                <w:szCs w:val="23"/>
              </w:rPr>
            </w:pPr>
            <w:r w:rsidRPr="00C50C28">
              <w:rPr>
                <w:color w:val="000000"/>
                <w:sz w:val="23"/>
                <w:szCs w:val="23"/>
              </w:rPr>
              <w:t>deklaruojantiems viešuosius ir privačiuosius interesus,</w:t>
            </w:r>
            <w:r w:rsidRPr="00C50C28">
              <w:rPr>
                <w:bCs/>
                <w:color w:val="000000"/>
                <w:szCs w:val="24"/>
              </w:rPr>
              <w:t xml:space="preserve"> nenumatytos spec. darbuotojų informavimo apie galimus interesų konfliktus su medicinos pagalbos priemonių tiekėjais, gamintojais ir jų remiamomis asociacijomis priemonės.</w:t>
            </w:r>
          </w:p>
          <w:p w14:paraId="2E3BA209"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KLUL nepateikė informacijos kokius faktiškai gydytojų informavimo </w:t>
            </w:r>
            <w:r w:rsidRPr="00C50C28">
              <w:rPr>
                <w:snapToGrid w:val="0"/>
                <w:szCs w:val="24"/>
                <w:lang w:eastAsia="lt-LT"/>
              </w:rPr>
              <w:lastRenderedPageBreak/>
              <w:t xml:space="preserve">veiksmus įvykdė ar yra parengtos išankstinės interesų deklaravimo rekomendacijos ir kokius rezultatus pasiekė įgyvendinant šį pasiūlymą, todėl šiuo metu negalima objektyviai įvertinti ar KLUL įvykdė pateiktą pasiūlymą. </w:t>
            </w:r>
          </w:p>
          <w:p w14:paraId="40C3EE2A" w14:textId="77777777" w:rsidR="00C50C28" w:rsidRPr="00C50C28" w:rsidRDefault="00C50C28" w:rsidP="00C50C28">
            <w:pPr>
              <w:widowControl w:val="0"/>
              <w:jc w:val="both"/>
              <w:rPr>
                <w:bCs/>
                <w:szCs w:val="24"/>
                <w:lang w:eastAsia="lt-LT"/>
              </w:rPr>
            </w:pPr>
          </w:p>
          <w:p w14:paraId="37949242" w14:textId="77777777" w:rsidR="00C50C28" w:rsidRPr="00C50C28" w:rsidRDefault="00C50C28" w:rsidP="00C50C28">
            <w:pPr>
              <w:widowControl w:val="0"/>
              <w:jc w:val="both"/>
              <w:rPr>
                <w:bCs/>
                <w:szCs w:val="24"/>
                <w:lang w:eastAsia="lt-LT"/>
              </w:rPr>
            </w:pPr>
            <w:r w:rsidRPr="00C50C28">
              <w:rPr>
                <w:bCs/>
                <w:szCs w:val="24"/>
                <w:lang w:eastAsia="lt-LT"/>
              </w:rPr>
              <w:t xml:space="preserve">Pakartotinai siūlome </w:t>
            </w:r>
            <w:r w:rsidRPr="00C50C28">
              <w:rPr>
                <w:snapToGrid w:val="0"/>
                <w:szCs w:val="24"/>
                <w:lang w:eastAsia="lt-LT"/>
              </w:rPr>
              <w:t xml:space="preserve">KLUL, įgyvendinant šį STT pasiūlymą, parengti ir patvirtinti išankstines privačių interesų deklaravimo rekomendacijas, kuriose </w:t>
            </w:r>
            <w:r w:rsidRPr="00C50C28">
              <w:rPr>
                <w:bCs/>
                <w:szCs w:val="24"/>
                <w:lang w:eastAsia="lt-LT"/>
              </w:rPr>
              <w:t>gydytojams, pateikiant asociatyvius pavyzdžius, išaiškinti atvejus kada skiriant medicinos pagalbos priemones įsigytas iš PSDF lėšų gydytojams gali kilti interesų konfliktas ir pateikti STT nuorodas į paskelbtus dokumentus arba jų kopijas.</w:t>
            </w:r>
          </w:p>
          <w:p w14:paraId="59BBAF03" w14:textId="77777777" w:rsidR="00C50C28" w:rsidRPr="00C50C28" w:rsidRDefault="00C50C28" w:rsidP="00C50C28">
            <w:pPr>
              <w:widowControl w:val="0"/>
              <w:jc w:val="both"/>
              <w:rPr>
                <w:bCs/>
                <w:szCs w:val="24"/>
                <w:lang w:eastAsia="lt-LT"/>
              </w:rPr>
            </w:pPr>
          </w:p>
          <w:p w14:paraId="1035F968" w14:textId="77777777" w:rsidR="00C50C28" w:rsidRPr="00C50C28" w:rsidRDefault="00C50C28" w:rsidP="00C50C28">
            <w:pPr>
              <w:widowControl w:val="0"/>
              <w:jc w:val="both"/>
              <w:rPr>
                <w:bCs/>
                <w:szCs w:val="24"/>
                <w:lang w:eastAsia="lt-LT"/>
              </w:rPr>
            </w:pPr>
            <w:r w:rsidRPr="00C50C28">
              <w:rPr>
                <w:bCs/>
                <w:szCs w:val="24"/>
                <w:lang w:eastAsia="lt-LT"/>
              </w:rPr>
              <w:t>Stebėsena tęsiama</w:t>
            </w:r>
          </w:p>
        </w:tc>
      </w:tr>
      <w:tr w:rsidR="00C50C28" w:rsidRPr="00C50C28" w14:paraId="58B11031" w14:textId="77777777" w:rsidTr="009E0638">
        <w:tc>
          <w:tcPr>
            <w:tcW w:w="14737" w:type="dxa"/>
            <w:gridSpan w:val="4"/>
          </w:tcPr>
          <w:p w14:paraId="048AB792" w14:textId="77777777" w:rsidR="00C50C28" w:rsidRPr="00C50C28" w:rsidRDefault="00C50C28" w:rsidP="00C50C28">
            <w:pPr>
              <w:widowControl w:val="0"/>
              <w:numPr>
                <w:ilvl w:val="0"/>
                <w:numId w:val="1"/>
              </w:numPr>
              <w:contextualSpacing/>
              <w:jc w:val="center"/>
              <w:rPr>
                <w:b/>
                <w:i/>
                <w:snapToGrid w:val="0"/>
              </w:rPr>
            </w:pPr>
            <w:r w:rsidRPr="00C50C28">
              <w:rPr>
                <w:b/>
                <w:i/>
                <w:snapToGrid w:val="0"/>
              </w:rPr>
              <w:lastRenderedPageBreak/>
              <w:t>Kitos pastabos</w:t>
            </w:r>
          </w:p>
        </w:tc>
      </w:tr>
      <w:tr w:rsidR="00C50C28" w:rsidRPr="00C50C28" w14:paraId="4C2656DA" w14:textId="77777777" w:rsidTr="009E0638">
        <w:tc>
          <w:tcPr>
            <w:tcW w:w="3539" w:type="dxa"/>
            <w:vMerge w:val="restart"/>
          </w:tcPr>
          <w:p w14:paraId="1BC70275"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2.3.3.EVIS nepakankamai pritaikytas centralizuotai perkamų endoprotezų ASPĮ naudojimo duomenų suvestinės funkcionalumas vidaus kontrolei ir ASPĮ valstybinei priežiūrai atlikti. EVIS duomenų suvestinėje matomi ne visi ASPĮ suvesti duomenys apie kiekvienos endoprotezavimo operacijos metu gydytojo ortopedo traumatologo </w:t>
            </w:r>
            <w:r w:rsidRPr="00C50C28">
              <w:rPr>
                <w:snapToGrid w:val="0"/>
                <w:szCs w:val="24"/>
                <w:lang w:eastAsia="lt-LT"/>
              </w:rPr>
              <w:lastRenderedPageBreak/>
              <w:t>panaudotą centralizuotai perkamą endoprotezą ir (ar) jo komponentą, tipą, modelį, gamintoją ir tiekėją, kurie pagal EVIS nuostatus turi būti tvarkomi (motyvai nurodyti išvados 4.4 skirsnyje).</w:t>
            </w:r>
          </w:p>
        </w:tc>
        <w:tc>
          <w:tcPr>
            <w:tcW w:w="3544" w:type="dxa"/>
            <w:vMerge w:val="restart"/>
          </w:tcPr>
          <w:p w14:paraId="3CB604D1" w14:textId="77777777" w:rsidR="00C50C28" w:rsidRPr="00C50C28" w:rsidRDefault="00C50C28" w:rsidP="00C50C28">
            <w:pPr>
              <w:widowControl w:val="0"/>
              <w:jc w:val="both"/>
              <w:rPr>
                <w:snapToGrid w:val="0"/>
                <w:szCs w:val="24"/>
                <w:lang w:eastAsia="lt-LT"/>
              </w:rPr>
            </w:pPr>
            <w:r w:rsidRPr="00C50C28">
              <w:rPr>
                <w:snapToGrid w:val="0"/>
                <w:szCs w:val="24"/>
                <w:lang w:eastAsia="lt-LT"/>
              </w:rPr>
              <w:lastRenderedPageBreak/>
              <w:t>2.4. Užtikrinti, kad ASPĮ atlikus endoprotezavimo operaciją į EVIS nustatyta tvarka būtų suvesti duomenys apie kiekvieno panaudoto centralizuotai perkamo endoprotezo ir (ar) jo komponento tipą, modelį, gamintoją ir tiekėją (išvados 5 skyriaus 2.3.3 p. nurodyta pastaba).</w:t>
            </w:r>
          </w:p>
        </w:tc>
        <w:tc>
          <w:tcPr>
            <w:tcW w:w="3827" w:type="dxa"/>
          </w:tcPr>
          <w:p w14:paraId="2DE39640" w14:textId="77777777" w:rsidR="00C50C28" w:rsidRPr="00C50C28" w:rsidRDefault="00C50C28" w:rsidP="00C50C28">
            <w:pPr>
              <w:widowControl w:val="0"/>
              <w:jc w:val="both"/>
              <w:rPr>
                <w:b/>
                <w:bCs/>
                <w:szCs w:val="24"/>
                <w:lang w:eastAsia="lt-LT"/>
              </w:rPr>
            </w:pPr>
            <w:r w:rsidRPr="00C50C28">
              <w:rPr>
                <w:b/>
                <w:bCs/>
                <w:szCs w:val="24"/>
                <w:lang w:eastAsia="lt-LT"/>
              </w:rPr>
              <w:t xml:space="preserve">2022-05-25 </w:t>
            </w:r>
          </w:p>
          <w:p w14:paraId="0F07E44D" w14:textId="77777777" w:rsidR="00C50C28" w:rsidRPr="00C50C28" w:rsidRDefault="00C50C28" w:rsidP="00C50C28">
            <w:pPr>
              <w:widowControl w:val="0"/>
              <w:jc w:val="both"/>
              <w:rPr>
                <w:snapToGrid w:val="0"/>
                <w:szCs w:val="24"/>
                <w:lang w:eastAsia="lt-LT"/>
              </w:rPr>
            </w:pPr>
            <w:r w:rsidRPr="00C50C28">
              <w:rPr>
                <w:snapToGrid w:val="0"/>
                <w:szCs w:val="24"/>
                <w:lang w:eastAsia="lt-LT"/>
              </w:rPr>
              <w:t>Prevencinėse priemonėse numatyta užtikrinti savalaikį ir tikslų informacijos pateikimą apie panaudotus centralizuotai perkamus endoprotezus į EVIS sistemą.</w:t>
            </w:r>
          </w:p>
        </w:tc>
        <w:tc>
          <w:tcPr>
            <w:tcW w:w="3827" w:type="dxa"/>
          </w:tcPr>
          <w:p w14:paraId="3CCE29A7" w14:textId="77777777" w:rsidR="00C50C28" w:rsidRPr="00C50C28" w:rsidRDefault="00C50C28" w:rsidP="00C50C28">
            <w:pPr>
              <w:widowControl w:val="0"/>
              <w:jc w:val="both"/>
              <w:rPr>
                <w:b/>
                <w:bCs/>
                <w:szCs w:val="24"/>
                <w:lang w:eastAsia="lt-LT"/>
              </w:rPr>
            </w:pPr>
            <w:r w:rsidRPr="00C50C28">
              <w:rPr>
                <w:b/>
                <w:bCs/>
                <w:szCs w:val="24"/>
                <w:lang w:eastAsia="lt-LT"/>
              </w:rPr>
              <w:t xml:space="preserve">2022-06-09 </w:t>
            </w:r>
          </w:p>
          <w:p w14:paraId="4C20B0AD" w14:textId="77777777" w:rsidR="00C50C28" w:rsidRPr="00C50C28" w:rsidRDefault="00C50C28" w:rsidP="00C50C28">
            <w:pPr>
              <w:rPr>
                <w:b/>
                <w:color w:val="00B0F0"/>
                <w:szCs w:val="24"/>
                <w:lang w:eastAsia="lt-LT"/>
              </w:rPr>
            </w:pPr>
            <w:r w:rsidRPr="00C50C28">
              <w:rPr>
                <w:b/>
                <w:color w:val="00B0F0"/>
                <w:szCs w:val="24"/>
                <w:lang w:eastAsia="lt-LT"/>
              </w:rPr>
              <w:t>Planuojama įgyvendinti</w:t>
            </w:r>
          </w:p>
          <w:p w14:paraId="1D26C1DA" w14:textId="77777777" w:rsidR="00C50C28" w:rsidRPr="00C50C28" w:rsidRDefault="00C50C28" w:rsidP="00C50C28">
            <w:pPr>
              <w:widowControl w:val="0"/>
              <w:rPr>
                <w:snapToGrid w:val="0"/>
                <w:szCs w:val="24"/>
                <w:lang w:eastAsia="lt-LT"/>
              </w:rPr>
            </w:pPr>
          </w:p>
          <w:p w14:paraId="72E79C56" w14:textId="77777777" w:rsidR="00C50C28" w:rsidRPr="00C50C28" w:rsidRDefault="00C50C28" w:rsidP="00C50C28">
            <w:pPr>
              <w:widowControl w:val="0"/>
              <w:jc w:val="both"/>
              <w:rPr>
                <w:snapToGrid w:val="0"/>
                <w:szCs w:val="24"/>
                <w:lang w:eastAsia="lt-LT"/>
              </w:rPr>
            </w:pPr>
            <w:r w:rsidRPr="00C50C28">
              <w:rPr>
                <w:snapToGrid w:val="0"/>
                <w:szCs w:val="24"/>
                <w:lang w:eastAsia="lt-LT"/>
              </w:rPr>
              <w:t>Nenustatyta centralizuotai perkamų endoprotezų skyrimo ir duomenų pildymo, tvarkymo EVIS ir patikrinimų atlikimo tvarka. Nenurodyta ar buvo atlikti duomenų apie endoprotezus įrašymo įstaigoje patikrinimai, jų rezultatai.</w:t>
            </w:r>
          </w:p>
          <w:p w14:paraId="3A658EC5" w14:textId="77777777" w:rsidR="00C50C28" w:rsidRPr="00C50C28" w:rsidRDefault="00C50C28" w:rsidP="00C50C28">
            <w:pPr>
              <w:widowControl w:val="0"/>
              <w:rPr>
                <w:snapToGrid w:val="0"/>
                <w:szCs w:val="24"/>
                <w:lang w:eastAsia="lt-LT"/>
              </w:rPr>
            </w:pPr>
          </w:p>
          <w:p w14:paraId="6522FB66" w14:textId="77777777" w:rsidR="00C50C28" w:rsidRPr="00C50C28" w:rsidRDefault="00C50C28" w:rsidP="00C50C28">
            <w:pPr>
              <w:widowControl w:val="0"/>
              <w:rPr>
                <w:snapToGrid w:val="0"/>
                <w:szCs w:val="24"/>
                <w:lang w:eastAsia="lt-LT"/>
              </w:rPr>
            </w:pPr>
            <w:r w:rsidRPr="00C50C28">
              <w:rPr>
                <w:snapToGrid w:val="0"/>
                <w:szCs w:val="24"/>
                <w:lang w:eastAsia="lt-LT"/>
              </w:rPr>
              <w:lastRenderedPageBreak/>
              <w:t>Prevencinėse priemonėse nurodytus veiksmus siūlome įtraukti į KLUL vadovo sprendimu patvirtintą korupcijos prevencijos veiksmų planą ir numatyti įgyvendinimo terminą.</w:t>
            </w:r>
          </w:p>
          <w:p w14:paraId="0A135E1C" w14:textId="77777777" w:rsidR="00C50C28" w:rsidRPr="00C50C28" w:rsidRDefault="00C50C28" w:rsidP="00C50C28">
            <w:pPr>
              <w:widowControl w:val="0"/>
              <w:rPr>
                <w:snapToGrid w:val="0"/>
                <w:szCs w:val="24"/>
                <w:lang w:eastAsia="lt-LT"/>
              </w:rPr>
            </w:pPr>
          </w:p>
          <w:p w14:paraId="240E1AC9" w14:textId="77777777" w:rsidR="00C50C28" w:rsidRPr="00C50C28" w:rsidRDefault="00C50C28" w:rsidP="00C50C28">
            <w:pPr>
              <w:widowControl w:val="0"/>
              <w:rPr>
                <w:snapToGrid w:val="0"/>
                <w:szCs w:val="24"/>
                <w:lang w:eastAsia="lt-LT"/>
              </w:rPr>
            </w:pPr>
            <w:r w:rsidRPr="00C50C28">
              <w:rPr>
                <w:snapToGrid w:val="0"/>
                <w:szCs w:val="24"/>
                <w:lang w:eastAsia="lt-LT"/>
              </w:rPr>
              <w:t>Stebėsena tęsiama</w:t>
            </w:r>
          </w:p>
        </w:tc>
      </w:tr>
      <w:tr w:rsidR="00C50C28" w:rsidRPr="00C50C28" w14:paraId="743525F6" w14:textId="77777777" w:rsidTr="009E0638">
        <w:tc>
          <w:tcPr>
            <w:tcW w:w="3539" w:type="dxa"/>
            <w:vMerge/>
          </w:tcPr>
          <w:p w14:paraId="75DECE1F" w14:textId="77777777" w:rsidR="00C50C28" w:rsidRPr="00C50C28" w:rsidRDefault="00C50C28" w:rsidP="00C50C28">
            <w:pPr>
              <w:widowControl w:val="0"/>
              <w:jc w:val="both"/>
              <w:rPr>
                <w:snapToGrid w:val="0"/>
                <w:szCs w:val="24"/>
                <w:lang w:eastAsia="lt-LT"/>
              </w:rPr>
            </w:pPr>
          </w:p>
        </w:tc>
        <w:tc>
          <w:tcPr>
            <w:tcW w:w="3544" w:type="dxa"/>
            <w:vMerge/>
          </w:tcPr>
          <w:p w14:paraId="7F966ECC" w14:textId="77777777" w:rsidR="00C50C28" w:rsidRPr="00C50C28" w:rsidRDefault="00C50C28" w:rsidP="00C50C28">
            <w:pPr>
              <w:widowControl w:val="0"/>
              <w:jc w:val="both"/>
              <w:rPr>
                <w:snapToGrid w:val="0"/>
                <w:szCs w:val="24"/>
                <w:lang w:eastAsia="lt-LT"/>
              </w:rPr>
            </w:pPr>
          </w:p>
        </w:tc>
        <w:tc>
          <w:tcPr>
            <w:tcW w:w="3827" w:type="dxa"/>
          </w:tcPr>
          <w:p w14:paraId="49258BE8"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4075309A" w14:textId="77777777" w:rsidR="00C50C28" w:rsidRPr="00C50C28" w:rsidRDefault="00C50C28" w:rsidP="00C50C28">
            <w:pPr>
              <w:autoSpaceDE w:val="0"/>
              <w:autoSpaceDN w:val="0"/>
              <w:adjustRightInd w:val="0"/>
              <w:jc w:val="both"/>
              <w:rPr>
                <w:b/>
                <w:bCs/>
                <w:szCs w:val="24"/>
                <w:lang w:eastAsia="lt-LT"/>
              </w:rPr>
            </w:pPr>
            <w:r w:rsidRPr="00C50C28">
              <w:rPr>
                <w:rFonts w:ascii="CIDFont+F2" w:eastAsia="Calibri" w:hAnsi="CIDFont+F2" w:cs="CIDFont+F2"/>
                <w:sz w:val="23"/>
                <w:szCs w:val="23"/>
              </w:rPr>
              <w:t>Valstybinės ligonių kasos administruojama IS EVIS dar tik baigiama optimizuoti. Visa informacija apie panaudoto centralizuotai perkamo endoprotezo ir (ar) jo komponento tipą, modelį, gamintoją ir tiekėją suvedama į EVIS</w:t>
            </w:r>
          </w:p>
        </w:tc>
        <w:tc>
          <w:tcPr>
            <w:tcW w:w="3827" w:type="dxa"/>
          </w:tcPr>
          <w:p w14:paraId="6AD65E4E" w14:textId="77777777" w:rsidR="00C50C28" w:rsidRPr="00C50C28" w:rsidRDefault="00C50C28" w:rsidP="00C50C28">
            <w:pPr>
              <w:widowControl w:val="0"/>
              <w:jc w:val="both"/>
              <w:rPr>
                <w:b/>
                <w:bCs/>
                <w:szCs w:val="24"/>
                <w:lang w:eastAsia="lt-LT"/>
              </w:rPr>
            </w:pPr>
            <w:r w:rsidRPr="00C50C28">
              <w:rPr>
                <w:b/>
                <w:bCs/>
                <w:szCs w:val="24"/>
                <w:lang w:eastAsia="lt-LT"/>
              </w:rPr>
              <w:t>2023-03-09</w:t>
            </w:r>
          </w:p>
          <w:p w14:paraId="3CECD8C9" w14:textId="77777777" w:rsidR="00C50C28" w:rsidRPr="00C50C28" w:rsidRDefault="00C50C28" w:rsidP="00C50C28">
            <w:pPr>
              <w:jc w:val="both"/>
              <w:rPr>
                <w:b/>
                <w:color w:val="00B050"/>
                <w:szCs w:val="24"/>
                <w:lang w:eastAsia="lt-LT"/>
              </w:rPr>
            </w:pPr>
            <w:r w:rsidRPr="00C50C28">
              <w:rPr>
                <w:b/>
                <w:color w:val="00B050"/>
                <w:szCs w:val="24"/>
                <w:lang w:eastAsia="lt-LT"/>
              </w:rPr>
              <w:t>Įgyvendinta</w:t>
            </w:r>
          </w:p>
          <w:p w14:paraId="654579FF" w14:textId="77777777" w:rsidR="00C50C28" w:rsidRPr="00C50C28" w:rsidRDefault="00C50C28" w:rsidP="00C50C28">
            <w:pPr>
              <w:jc w:val="both"/>
              <w:rPr>
                <w:szCs w:val="24"/>
                <w:lang w:eastAsia="lt-LT"/>
              </w:rPr>
            </w:pPr>
            <w:r w:rsidRPr="00C50C28">
              <w:rPr>
                <w:snapToGrid w:val="0"/>
                <w:szCs w:val="24"/>
                <w:lang w:eastAsia="lt-LT"/>
              </w:rPr>
              <w:t>Sveikatos apsaugos ministro 2023 m. vasario 2 d. įsakymu Nr. V-143 buvo priimtas Sąnarių endoprotezavimo ir išlaidų sąnarių endoprotezams įsigyti kompensavimo tvarkos aprašo (toliau – Aprašas) pakeitimas. Aprašo pakeitimai įsigaliojo nuo 2023-02-03</w:t>
            </w:r>
          </w:p>
          <w:p w14:paraId="356629D1" w14:textId="77777777" w:rsidR="00C50C28" w:rsidRPr="00C50C28" w:rsidRDefault="00C50C28" w:rsidP="00C50C28">
            <w:pPr>
              <w:jc w:val="both"/>
              <w:rPr>
                <w:snapToGrid w:val="0"/>
                <w:szCs w:val="24"/>
                <w:lang w:eastAsia="lt-LT"/>
              </w:rPr>
            </w:pPr>
            <w:r w:rsidRPr="00C50C28">
              <w:rPr>
                <w:snapToGrid w:val="0"/>
                <w:szCs w:val="24"/>
                <w:lang w:eastAsia="lt-LT"/>
              </w:rPr>
              <w:t>Aprašo 70 punkte ir naujoje 2 priedo „</w:t>
            </w:r>
            <w:r w:rsidRPr="00C50C28">
              <w:rPr>
                <w:color w:val="000000"/>
                <w:szCs w:val="24"/>
                <w:lang w:eastAsia="lt-LT"/>
              </w:rPr>
              <w:t>Pažymos apie atliktą sąnario endoprotezavimo operaciją forma“ redakcijoje</w:t>
            </w:r>
            <w:r w:rsidRPr="00C50C28">
              <w:rPr>
                <w:snapToGrid w:val="0"/>
                <w:szCs w:val="24"/>
                <w:lang w:eastAsia="lt-LT"/>
              </w:rPr>
              <w:t xml:space="preserve"> nustatytas reikalavimas ASPĮ duomenis apie a</w:t>
            </w:r>
            <w:r w:rsidRPr="00C50C28">
              <w:rPr>
                <w:color w:val="000000"/>
                <w:szCs w:val="24"/>
                <w:lang w:eastAsia="lt-LT"/>
              </w:rPr>
              <w:t>tliktas sąnarių endoprotezavimo operacijas ir panaudotus sąnarių endoprotezus (kai implantuojami VLK skiriami kompensuojamieji arba apdraustojo lėšomis įsigyti sąnarių endoprotezai)</w:t>
            </w:r>
            <w:r w:rsidRPr="00C50C28">
              <w:rPr>
                <w:snapToGrid w:val="0"/>
                <w:szCs w:val="24"/>
                <w:lang w:eastAsia="lt-LT"/>
              </w:rPr>
              <w:t xml:space="preserve"> įvesti į EVIS, kurioje automatiškai bus parengiama pažyma apie atliktą operaciją, ASPĮ nesuvedus būtinų duomenų, pažymos nebus galima sudaryti.</w:t>
            </w:r>
          </w:p>
          <w:p w14:paraId="2B5F0C45" w14:textId="77777777" w:rsidR="00C50C28" w:rsidRPr="00C50C28" w:rsidRDefault="00C50C28" w:rsidP="00C50C28">
            <w:pPr>
              <w:widowControl w:val="0"/>
              <w:jc w:val="both"/>
              <w:rPr>
                <w:snapToGrid w:val="0"/>
                <w:szCs w:val="24"/>
                <w:lang w:eastAsia="lt-LT"/>
              </w:rPr>
            </w:pPr>
            <w:r w:rsidRPr="00C50C28">
              <w:rPr>
                <w:snapToGrid w:val="0"/>
                <w:szCs w:val="24"/>
                <w:lang w:eastAsia="lt-LT"/>
              </w:rPr>
              <w:t xml:space="preserve">KLUL interneto puslapyje skelbiamų Prevencinių priemonių 4 punkte </w:t>
            </w:r>
            <w:r w:rsidRPr="00C50C28">
              <w:rPr>
                <w:snapToGrid w:val="0"/>
                <w:szCs w:val="24"/>
                <w:lang w:eastAsia="lt-LT"/>
              </w:rPr>
              <w:lastRenderedPageBreak/>
              <w:t xml:space="preserve">nurodyta, kad KLUL planuoja </w:t>
            </w:r>
            <w:r w:rsidRPr="00C50C28">
              <w:rPr>
                <w:i/>
                <w:snapToGrid w:val="0"/>
                <w:szCs w:val="24"/>
                <w:lang w:eastAsia="lt-LT"/>
              </w:rPr>
              <w:t>užtikrinti savalaikį ir tikslų informacijos pateikimą apie panaudotus centralizuotai perkamus endoprotezus į EVIS sistemą</w:t>
            </w:r>
            <w:r w:rsidRPr="00C50C28">
              <w:rPr>
                <w:snapToGrid w:val="0"/>
                <w:szCs w:val="24"/>
                <w:lang w:eastAsia="lt-LT"/>
              </w:rPr>
              <w:t xml:space="preserve">. </w:t>
            </w:r>
          </w:p>
          <w:p w14:paraId="786688A2" w14:textId="77777777" w:rsidR="00C50C28" w:rsidRPr="00C50C28" w:rsidRDefault="00C50C28" w:rsidP="00C50C28">
            <w:pPr>
              <w:jc w:val="both"/>
              <w:rPr>
                <w:snapToGrid w:val="0"/>
                <w:szCs w:val="24"/>
                <w:lang w:eastAsia="lt-LT"/>
              </w:rPr>
            </w:pPr>
          </w:p>
          <w:p w14:paraId="10949954" w14:textId="77777777" w:rsidR="00C50C28" w:rsidRPr="00C50C28" w:rsidRDefault="00C50C28" w:rsidP="00C50C28">
            <w:pPr>
              <w:jc w:val="both"/>
              <w:rPr>
                <w:snapToGrid w:val="0"/>
                <w:szCs w:val="24"/>
                <w:lang w:eastAsia="lt-LT"/>
              </w:rPr>
            </w:pPr>
            <w:r w:rsidRPr="00C50C28">
              <w:rPr>
                <w:snapToGrid w:val="0"/>
                <w:szCs w:val="24"/>
                <w:lang w:eastAsia="lt-LT"/>
              </w:rPr>
              <w:t xml:space="preserve">Siūlome, atsižvelgiant į galiojančius Aprašo reikalavimus, vidaus teisinio reguliavimo ir kontrolės priemonėmis (siūlytina pasinaudojant </w:t>
            </w:r>
            <w:r w:rsidRPr="00C50C28">
              <w:rPr>
                <w:szCs w:val="24"/>
                <w:lang w:eastAsia="lt-LT"/>
              </w:rPr>
              <w:t>geruoju KL taikomos praktikos pavyzdžiu atlikti duomenų įrašymo į EVIS patikrinimus)</w:t>
            </w:r>
            <w:r w:rsidRPr="00C50C28">
              <w:rPr>
                <w:snapToGrid w:val="0"/>
                <w:szCs w:val="24"/>
                <w:lang w:eastAsia="lt-LT"/>
              </w:rPr>
              <w:t xml:space="preserve"> užtikrinti, kad KLUL atsakingi asmenys į EVIS nustatyta tvarka suvestų visus Apraše reikalaujamus duomenis apie kiekvieną panaudotą centralizuotai perkamą endoprotezą ir (ar) jo komponentą.</w:t>
            </w:r>
          </w:p>
          <w:p w14:paraId="2FCAE357" w14:textId="77777777" w:rsidR="00C50C28" w:rsidRPr="00C50C28" w:rsidRDefault="00C50C28" w:rsidP="00C50C28">
            <w:pPr>
              <w:jc w:val="both"/>
              <w:rPr>
                <w:snapToGrid w:val="0"/>
                <w:szCs w:val="24"/>
                <w:lang w:eastAsia="lt-LT"/>
              </w:rPr>
            </w:pPr>
          </w:p>
          <w:p w14:paraId="15804073" w14:textId="77777777" w:rsidR="00C50C28" w:rsidRPr="00C50C28" w:rsidRDefault="00C50C28" w:rsidP="00C50C28">
            <w:pPr>
              <w:widowControl w:val="0"/>
              <w:jc w:val="both"/>
              <w:rPr>
                <w:b/>
                <w:bCs/>
                <w:szCs w:val="24"/>
                <w:lang w:eastAsia="lt-LT"/>
              </w:rPr>
            </w:pPr>
            <w:r w:rsidRPr="00C50C28">
              <w:rPr>
                <w:snapToGrid w:val="0"/>
                <w:szCs w:val="24"/>
                <w:lang w:eastAsia="lt-LT"/>
              </w:rPr>
              <w:t>Stebėsena baigta</w:t>
            </w:r>
          </w:p>
        </w:tc>
      </w:tr>
    </w:tbl>
    <w:p w14:paraId="35FE3253" w14:textId="77777777" w:rsidR="00C50C28" w:rsidRPr="00C50C28" w:rsidRDefault="00C50C28" w:rsidP="00C50C28">
      <w:pPr>
        <w:spacing w:after="0" w:line="240" w:lineRule="auto"/>
        <w:jc w:val="center"/>
        <w:rPr>
          <w:rFonts w:eastAsia="Times New Roman" w:cs="Times New Roman"/>
          <w:szCs w:val="24"/>
          <w:lang w:eastAsia="lt-LT"/>
        </w:rPr>
      </w:pPr>
    </w:p>
    <w:p w14:paraId="73DD599D" w14:textId="77777777" w:rsidR="00C50C28" w:rsidRPr="00C50C28" w:rsidRDefault="00C50C28" w:rsidP="00C50C28">
      <w:pPr>
        <w:spacing w:after="0" w:line="360" w:lineRule="auto"/>
        <w:ind w:firstLine="851"/>
        <w:jc w:val="center"/>
        <w:rPr>
          <w:rFonts w:eastAsia="Times New Roman" w:cs="Times New Roman"/>
          <w:szCs w:val="24"/>
          <w:lang w:val="en-GB" w:eastAsia="lt-LT"/>
        </w:rPr>
      </w:pPr>
      <w:r w:rsidRPr="00C50C28">
        <w:rPr>
          <w:rFonts w:eastAsia="Times New Roman" w:cs="Times New Roman"/>
          <w:szCs w:val="24"/>
          <w:lang w:val="en-GB" w:eastAsia="lt-LT"/>
        </w:rPr>
        <w:t>__________________________________</w:t>
      </w:r>
    </w:p>
    <w:p w14:paraId="0DC3D679" w14:textId="77777777" w:rsidR="00C50C28" w:rsidRPr="00C50C28" w:rsidRDefault="00C50C28" w:rsidP="00C50C28">
      <w:pPr>
        <w:spacing w:after="0" w:line="360" w:lineRule="auto"/>
        <w:ind w:firstLine="851"/>
        <w:jc w:val="both"/>
        <w:rPr>
          <w:rFonts w:eastAsia="Times New Roman" w:cs="Times New Roman"/>
          <w:szCs w:val="24"/>
          <w:lang w:eastAsia="lt-LT"/>
        </w:rPr>
      </w:pPr>
    </w:p>
    <w:p w14:paraId="1A335BA5" w14:textId="77777777" w:rsidR="007A1499" w:rsidRDefault="007A1499"/>
    <w:sectPr w:rsidR="007A1499" w:rsidSect="00394A51">
      <w:headerReference w:type="default" r:id="rId7"/>
      <w:pgSz w:w="16838" w:h="11906" w:orient="landscape"/>
      <w:pgMar w:top="1701" w:right="820"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92250" w14:textId="77777777" w:rsidR="000D59CE" w:rsidRDefault="000D59CE" w:rsidP="00C50C28">
      <w:pPr>
        <w:spacing w:after="0" w:line="240" w:lineRule="auto"/>
      </w:pPr>
      <w:r>
        <w:separator/>
      </w:r>
    </w:p>
  </w:endnote>
  <w:endnote w:type="continuationSeparator" w:id="0">
    <w:p w14:paraId="788858C0" w14:textId="77777777" w:rsidR="000D59CE" w:rsidRDefault="000D59CE" w:rsidP="00C5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603CD" w14:textId="77777777" w:rsidR="000D59CE" w:rsidRDefault="000D59CE" w:rsidP="00C50C28">
      <w:pPr>
        <w:spacing w:after="0" w:line="240" w:lineRule="auto"/>
      </w:pPr>
      <w:r>
        <w:separator/>
      </w:r>
    </w:p>
  </w:footnote>
  <w:footnote w:type="continuationSeparator" w:id="0">
    <w:p w14:paraId="25A24A62" w14:textId="77777777" w:rsidR="000D59CE" w:rsidRDefault="000D59CE" w:rsidP="00C50C28">
      <w:pPr>
        <w:spacing w:after="0" w:line="240" w:lineRule="auto"/>
      </w:pPr>
      <w:r>
        <w:continuationSeparator/>
      </w:r>
    </w:p>
  </w:footnote>
  <w:footnote w:id="1">
    <w:p w14:paraId="2D078BF1" w14:textId="77777777" w:rsidR="00C50C28" w:rsidRDefault="00C50C28" w:rsidP="00C50C28">
      <w:pPr>
        <w:pStyle w:val="FootnoteText"/>
      </w:pPr>
      <w:r>
        <w:rPr>
          <w:rStyle w:val="FootnoteReference"/>
        </w:rPr>
        <w:footnoteRef/>
      </w:r>
      <w:r>
        <w:t xml:space="preserve"> Korupcijos prevencijos planų rengimo gairės pateikiamos </w:t>
      </w:r>
      <w:r w:rsidRPr="00086AA2">
        <w:t>Korupcijos prevencijos veiksmų planų, jų projektų ir planų įgyve</w:t>
      </w:r>
      <w:r>
        <w:t xml:space="preserve">ndinimo vertinimo tvarkos apraše, patvirtintame STT direktoriaus 2021-12-28 įsakymu Nr. 2-238 Prieiga internete: </w:t>
      </w:r>
      <w:hyperlink r:id="rId1" w:history="1">
        <w:r w:rsidRPr="009C7F99">
          <w:rPr>
            <w:rStyle w:val="Hipersaitas1"/>
          </w:rPr>
          <w:t>https://e-tar.lt/portal/lt/legalAct/8c8d382067a611eca9ac839120d251c4</w:t>
        </w:r>
      </w:hyperlink>
      <w:r>
        <w:t xml:space="preserve"> </w:t>
      </w:r>
    </w:p>
  </w:footnote>
  <w:footnote w:id="2">
    <w:p w14:paraId="159067EE" w14:textId="77777777" w:rsidR="00C50C28" w:rsidRDefault="00C50C28" w:rsidP="00C50C28">
      <w:pPr>
        <w:pStyle w:val="FootnoteText"/>
      </w:pPr>
      <w:r>
        <w:rPr>
          <w:rStyle w:val="FootnoteReference"/>
        </w:rPr>
        <w:footnoteRef/>
      </w:r>
      <w:r>
        <w:t xml:space="preserve"> Prieiga internete: </w:t>
      </w:r>
      <w:hyperlink r:id="rId2" w:history="1">
        <w:r w:rsidRPr="009C7F99">
          <w:rPr>
            <w:rStyle w:val="Hipersaitas1"/>
          </w:rPr>
          <w:t>https://www.stt.lt/korupcijos-prevencija/korupcijos-rizikos-analizes/atliktos-korupcijos-rizikos-analizes/7471/act1034</w:t>
        </w:r>
      </w:hyperlink>
      <w:r>
        <w:t xml:space="preserve"> </w:t>
      </w:r>
    </w:p>
  </w:footnote>
  <w:footnote w:id="3">
    <w:p w14:paraId="5FEFE4F5" w14:textId="77777777" w:rsidR="00C50C28" w:rsidRDefault="00C50C28" w:rsidP="00C50C28">
      <w:pPr>
        <w:pStyle w:val="FootnoteText"/>
      </w:pPr>
      <w:r>
        <w:rPr>
          <w:rStyle w:val="FootnoteReference"/>
        </w:rPr>
        <w:footnoteRef/>
      </w:r>
      <w:r>
        <w:t xml:space="preserve"> Prieiga internete: </w:t>
      </w:r>
      <w:hyperlink r:id="rId3" w:history="1">
        <w:r w:rsidRPr="009C7F99">
          <w:rPr>
            <w:rStyle w:val="Hipersaitas1"/>
          </w:rPr>
          <w:t>https://www.stt.lt/korupcijos-prevencija/korupcijos-rizikos-analizes/atliktos-korupcijos-rizikos-analizes/7471/act1034</w:t>
        </w:r>
      </w:hyperlink>
    </w:p>
  </w:footnote>
  <w:footnote w:id="4">
    <w:p w14:paraId="112F807F" w14:textId="77777777" w:rsidR="00C50C28" w:rsidRDefault="00C50C28" w:rsidP="00C50C28">
      <w:pPr>
        <w:pStyle w:val="FootnoteText"/>
      </w:pPr>
      <w:r>
        <w:rPr>
          <w:rStyle w:val="FootnoteReference"/>
        </w:rPr>
        <w:footnoteRef/>
      </w:r>
      <w:r>
        <w:t xml:space="preserve"> </w:t>
      </w:r>
      <w:r>
        <w:rPr>
          <w:snapToGrid w:val="0"/>
        </w:rPr>
        <w:t>Atkreipiame dėmesį, kad renginių, kuriuose dalyvavo gydytojai, ir jiems suteiktos paramos viešinimas, būtų itin reikšminga ir sveikintina korupcijos prevencijos priemonė, reikšmingai didinanti skaidrumą ir mažinanti gydytojų, dalyvaujančių pirkimų procedūrose, interesų konflikto su juridiniais asmenimis</w:t>
      </w:r>
      <w:r w:rsidRPr="007063BD">
        <w:rPr>
          <w:snapToGrid w:val="0"/>
        </w:rPr>
        <w:t xml:space="preserve"> </w:t>
      </w:r>
      <w:r>
        <w:rPr>
          <w:snapToGrid w:val="0"/>
        </w:rPr>
        <w:t>galimybę.</w:t>
      </w:r>
    </w:p>
  </w:footnote>
  <w:footnote w:id="5">
    <w:p w14:paraId="6661346B" w14:textId="77777777" w:rsidR="00C50C28" w:rsidRDefault="00C50C28" w:rsidP="00C50C28">
      <w:pPr>
        <w:pStyle w:val="FootnoteText"/>
      </w:pPr>
      <w:r>
        <w:rPr>
          <w:rStyle w:val="FootnoteReference"/>
        </w:rPr>
        <w:footnoteRef/>
      </w:r>
      <w:r>
        <w:t xml:space="preserve"> </w:t>
      </w:r>
      <w:r w:rsidRPr="0080271D">
        <w:t>Pažymime, kad STT bendradarbiaujant su KRA subjektais, jiems</w:t>
      </w:r>
      <w:r>
        <w:t>,</w:t>
      </w:r>
      <w:r w:rsidRPr="0080271D">
        <w:t xml:space="preserve"> įgyvendinant šį pasiūlymą, išreiškus abejones dėl galimai perteklinio asmens duomenų tvarkymo renkant tokius duomenis, sutiko dėl </w:t>
      </w:r>
      <w:r>
        <w:t xml:space="preserve">galimo </w:t>
      </w:r>
      <w:r w:rsidRPr="0080271D">
        <w:t>alt</w:t>
      </w:r>
      <w:r>
        <w:t>ernatyvaus jo įgyvendinimo būdo: „</w:t>
      </w:r>
      <w:r w:rsidRPr="00042C3A">
        <w:rPr>
          <w:i/>
          <w:snapToGrid w:val="0"/>
        </w:rPr>
        <w:t>išaiškinti sveikatos priežiūros specialistams, kurie dalyvauja viešuosiuose pirkimuose, skiria pacientams ar kitaip naudoja medicinos priemones, įsigytas iš PSDF biudžeto lėšų, apie jų pareigą, vykdant savo funkcijas, pagal Viešųjų ir privačių interesų deklaravimo įstatymo 6 straipsnio 2 dalį. deklaruoti savo ir jiems artimų asmenų interesus su juridiniais asmenimis, iš jų ir su nevyriausybinėmis organizacijomis, kurios gauna paramą iš tiekėjų</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284735"/>
      <w:docPartObj>
        <w:docPartGallery w:val="Page Numbers (Top of Page)"/>
        <w:docPartUnique/>
      </w:docPartObj>
    </w:sdtPr>
    <w:sdtContent>
      <w:p w14:paraId="3A24D41F" w14:textId="77777777" w:rsidR="00BF77BE" w:rsidRDefault="006F3438">
        <w:pPr>
          <w:pStyle w:val="Header"/>
          <w:jc w:val="center"/>
        </w:pPr>
        <w:r>
          <w:fldChar w:fldCharType="begin"/>
        </w:r>
        <w:r>
          <w:instrText>PAGE   \* MERGEFORMAT</w:instrText>
        </w:r>
        <w:r>
          <w:fldChar w:fldCharType="separate"/>
        </w:r>
        <w:r>
          <w:rPr>
            <w:noProof/>
          </w:rPr>
          <w:t>42</w:t>
        </w:r>
        <w:r>
          <w:fldChar w:fldCharType="end"/>
        </w:r>
      </w:p>
    </w:sdtContent>
  </w:sdt>
  <w:p w14:paraId="31EA8EA4" w14:textId="77777777" w:rsidR="00BF77BE" w:rsidRDefault="00BF7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01CAE"/>
    <w:multiLevelType w:val="hybridMultilevel"/>
    <w:tmpl w:val="56100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F15AC1"/>
    <w:multiLevelType w:val="multilevel"/>
    <w:tmpl w:val="A27A912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201740">
    <w:abstractNumId w:val="1"/>
  </w:num>
  <w:num w:numId="2" w16cid:durableId="157208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28"/>
    <w:rsid w:val="000D59CE"/>
    <w:rsid w:val="001D1C9A"/>
    <w:rsid w:val="00201B0B"/>
    <w:rsid w:val="00245EA3"/>
    <w:rsid w:val="002673F2"/>
    <w:rsid w:val="002C4274"/>
    <w:rsid w:val="002E336E"/>
    <w:rsid w:val="00380B14"/>
    <w:rsid w:val="00394A51"/>
    <w:rsid w:val="004275F4"/>
    <w:rsid w:val="00450FAD"/>
    <w:rsid w:val="004608BE"/>
    <w:rsid w:val="004F3E64"/>
    <w:rsid w:val="005231E1"/>
    <w:rsid w:val="00524B72"/>
    <w:rsid w:val="005C6E44"/>
    <w:rsid w:val="00640508"/>
    <w:rsid w:val="00641427"/>
    <w:rsid w:val="00647357"/>
    <w:rsid w:val="006A7096"/>
    <w:rsid w:val="006B1AC6"/>
    <w:rsid w:val="006E3980"/>
    <w:rsid w:val="006F3438"/>
    <w:rsid w:val="00727A33"/>
    <w:rsid w:val="007A1499"/>
    <w:rsid w:val="00816461"/>
    <w:rsid w:val="00880745"/>
    <w:rsid w:val="008D06A2"/>
    <w:rsid w:val="00970101"/>
    <w:rsid w:val="00970836"/>
    <w:rsid w:val="00A375FC"/>
    <w:rsid w:val="00A4223C"/>
    <w:rsid w:val="00B46C8F"/>
    <w:rsid w:val="00B90F88"/>
    <w:rsid w:val="00BF77BE"/>
    <w:rsid w:val="00C05F2B"/>
    <w:rsid w:val="00C50C28"/>
    <w:rsid w:val="00CF28F8"/>
    <w:rsid w:val="00DC59D1"/>
    <w:rsid w:val="00E0209E"/>
    <w:rsid w:val="00FA23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2F10"/>
  <w15:chartTrackingRefBased/>
  <w15:docId w15:val="{31128EBD-F67A-469B-9BDA-7B9F8EB9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980"/>
    <w:rPr>
      <w:rFonts w:ascii="Times New Roman" w:hAnsi="Times New Roman"/>
      <w:kern w:val="0"/>
      <w:sz w:val="24"/>
      <w14:ligatures w14:val="none"/>
    </w:rPr>
  </w:style>
  <w:style w:type="paragraph" w:styleId="Heading1">
    <w:name w:val="heading 1"/>
    <w:basedOn w:val="Normal"/>
    <w:next w:val="Normal"/>
    <w:link w:val="Heading1Char"/>
    <w:uiPriority w:val="9"/>
    <w:qFormat/>
    <w:rsid w:val="00A4223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A4223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4223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4223C"/>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4223C"/>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4223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4223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223C"/>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A422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23C"/>
    <w:pPr>
      <w:ind w:left="720"/>
      <w:contextualSpacing/>
    </w:pPr>
  </w:style>
  <w:style w:type="character" w:customStyle="1" w:styleId="Heading1Char">
    <w:name w:val="Heading 1 Char"/>
    <w:basedOn w:val="DefaultParagraphFont"/>
    <w:link w:val="Heading1"/>
    <w:uiPriority w:val="9"/>
    <w:rsid w:val="00A4223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223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A4223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A4223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4223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4223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422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223C"/>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A4223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223C"/>
    <w:pPr>
      <w:spacing w:line="240" w:lineRule="auto"/>
    </w:pPr>
    <w:rPr>
      <w:b/>
      <w:bCs/>
      <w:color w:val="4472C4" w:themeColor="accent1"/>
      <w:sz w:val="18"/>
      <w:szCs w:val="18"/>
    </w:rPr>
  </w:style>
  <w:style w:type="paragraph" w:styleId="Title">
    <w:name w:val="Title"/>
    <w:basedOn w:val="Normal"/>
    <w:next w:val="Normal"/>
    <w:link w:val="TitleChar"/>
    <w:uiPriority w:val="10"/>
    <w:qFormat/>
    <w:rsid w:val="00A4223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A4223C"/>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A4223C"/>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A4223C"/>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A4223C"/>
    <w:rPr>
      <w:b/>
      <w:bCs/>
    </w:rPr>
  </w:style>
  <w:style w:type="character" w:styleId="Emphasis">
    <w:name w:val="Emphasis"/>
    <w:basedOn w:val="DefaultParagraphFont"/>
    <w:uiPriority w:val="20"/>
    <w:qFormat/>
    <w:rsid w:val="00A4223C"/>
    <w:rPr>
      <w:i/>
      <w:iCs/>
    </w:rPr>
  </w:style>
  <w:style w:type="paragraph" w:styleId="NoSpacing">
    <w:name w:val="No Spacing"/>
    <w:uiPriority w:val="1"/>
    <w:qFormat/>
    <w:rsid w:val="00A4223C"/>
    <w:pPr>
      <w:spacing w:after="0" w:line="240" w:lineRule="auto"/>
    </w:pPr>
  </w:style>
  <w:style w:type="paragraph" w:styleId="Quote">
    <w:name w:val="Quote"/>
    <w:basedOn w:val="Normal"/>
    <w:next w:val="Normal"/>
    <w:link w:val="QuoteChar"/>
    <w:uiPriority w:val="29"/>
    <w:qFormat/>
    <w:rsid w:val="00A4223C"/>
    <w:rPr>
      <w:i/>
      <w:iCs/>
      <w:color w:val="000000" w:themeColor="text1"/>
    </w:rPr>
  </w:style>
  <w:style w:type="character" w:customStyle="1" w:styleId="QuoteChar">
    <w:name w:val="Quote Char"/>
    <w:basedOn w:val="DefaultParagraphFont"/>
    <w:link w:val="Quote"/>
    <w:uiPriority w:val="29"/>
    <w:rsid w:val="00A4223C"/>
    <w:rPr>
      <w:i/>
      <w:iCs/>
      <w:color w:val="000000" w:themeColor="text1"/>
    </w:rPr>
  </w:style>
  <w:style w:type="paragraph" w:styleId="IntenseQuote">
    <w:name w:val="Intense Quote"/>
    <w:basedOn w:val="Normal"/>
    <w:next w:val="Normal"/>
    <w:link w:val="IntenseQuoteChar"/>
    <w:uiPriority w:val="30"/>
    <w:qFormat/>
    <w:rsid w:val="00A4223C"/>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4223C"/>
    <w:rPr>
      <w:b/>
      <w:bCs/>
      <w:i/>
      <w:iCs/>
      <w:color w:val="4472C4" w:themeColor="accent1"/>
    </w:rPr>
  </w:style>
  <w:style w:type="character" w:styleId="SubtleEmphasis">
    <w:name w:val="Subtle Emphasis"/>
    <w:basedOn w:val="DefaultParagraphFont"/>
    <w:uiPriority w:val="19"/>
    <w:qFormat/>
    <w:rsid w:val="00A4223C"/>
    <w:rPr>
      <w:i/>
      <w:iCs/>
      <w:color w:val="808080" w:themeColor="text1" w:themeTint="7F"/>
    </w:rPr>
  </w:style>
  <w:style w:type="character" w:styleId="IntenseEmphasis">
    <w:name w:val="Intense Emphasis"/>
    <w:basedOn w:val="DefaultParagraphFont"/>
    <w:uiPriority w:val="21"/>
    <w:qFormat/>
    <w:rsid w:val="00A4223C"/>
    <w:rPr>
      <w:b/>
      <w:bCs/>
      <w:i/>
      <w:iCs/>
      <w:color w:val="4472C4" w:themeColor="accent1"/>
    </w:rPr>
  </w:style>
  <w:style w:type="character" w:styleId="SubtleReference">
    <w:name w:val="Subtle Reference"/>
    <w:basedOn w:val="DefaultParagraphFont"/>
    <w:uiPriority w:val="31"/>
    <w:qFormat/>
    <w:rsid w:val="00A4223C"/>
    <w:rPr>
      <w:smallCaps/>
      <w:color w:val="ED7D31" w:themeColor="accent2"/>
      <w:u w:val="single"/>
    </w:rPr>
  </w:style>
  <w:style w:type="character" w:styleId="IntenseReference">
    <w:name w:val="Intense Reference"/>
    <w:basedOn w:val="DefaultParagraphFont"/>
    <w:uiPriority w:val="32"/>
    <w:qFormat/>
    <w:rsid w:val="00A4223C"/>
    <w:rPr>
      <w:b/>
      <w:bCs/>
      <w:smallCaps/>
      <w:color w:val="ED7D31" w:themeColor="accent2"/>
      <w:spacing w:val="5"/>
      <w:u w:val="single"/>
    </w:rPr>
  </w:style>
  <w:style w:type="character" w:styleId="BookTitle">
    <w:name w:val="Book Title"/>
    <w:basedOn w:val="DefaultParagraphFont"/>
    <w:uiPriority w:val="33"/>
    <w:qFormat/>
    <w:rsid w:val="00A4223C"/>
    <w:rPr>
      <w:b/>
      <w:bCs/>
      <w:smallCaps/>
      <w:spacing w:val="5"/>
    </w:rPr>
  </w:style>
  <w:style w:type="paragraph" w:styleId="TOCHeading">
    <w:name w:val="TOC Heading"/>
    <w:basedOn w:val="Heading1"/>
    <w:next w:val="Normal"/>
    <w:uiPriority w:val="39"/>
    <w:semiHidden/>
    <w:unhideWhenUsed/>
    <w:qFormat/>
    <w:rsid w:val="00A4223C"/>
    <w:pPr>
      <w:outlineLvl w:val="9"/>
    </w:pPr>
  </w:style>
  <w:style w:type="paragraph" w:styleId="FootnoteText">
    <w:name w:val="footnote text"/>
    <w:aliases w:val="Footnote,Fußnote"/>
    <w:basedOn w:val="Normal"/>
    <w:link w:val="FootnoteTextChar"/>
    <w:rsid w:val="00C50C28"/>
    <w:pPr>
      <w:spacing w:after="0" w:line="240" w:lineRule="auto"/>
    </w:pPr>
    <w:rPr>
      <w:rFonts w:ascii="Arial" w:eastAsia="Calibri" w:hAnsi="Arial" w:cs="Times New Roman"/>
      <w:sz w:val="20"/>
      <w:szCs w:val="20"/>
      <w:lang w:eastAsia="lt-LT"/>
    </w:rPr>
  </w:style>
  <w:style w:type="character" w:customStyle="1" w:styleId="FootnoteTextChar">
    <w:name w:val="Footnote Text Char"/>
    <w:aliases w:val="Footnote Char,Fußnote Char"/>
    <w:basedOn w:val="DefaultParagraphFont"/>
    <w:link w:val="FootnoteText"/>
    <w:qFormat/>
    <w:rsid w:val="00C50C28"/>
    <w:rPr>
      <w:rFonts w:ascii="Arial" w:eastAsia="Calibri" w:hAnsi="Arial" w:cs="Times New Roman"/>
      <w:kern w:val="0"/>
      <w:sz w:val="20"/>
      <w:szCs w:val="20"/>
      <w:lang w:eastAsia="lt-LT"/>
      <w14:ligatures w14:val="none"/>
    </w:rPr>
  </w:style>
  <w:style w:type="character" w:styleId="FootnoteReference">
    <w:name w:val="footnote reference"/>
    <w:aliases w:val="fr,BVI fnr,ftref,Footnote symbol,16 Point,Superscript 6 Point,Voetnootverwijzing,Times 10 Point, Exposant 3 Point,Exposant 3 Point,Footnote Reference Superscript,Footnote number,o,Footnotemark,FR,Footnotemark1,Footnotemark2"/>
    <w:rsid w:val="00C50C28"/>
    <w:rPr>
      <w:rFonts w:cs="Times New Roman"/>
      <w:vertAlign w:val="superscript"/>
    </w:rPr>
  </w:style>
  <w:style w:type="table" w:styleId="TableGrid">
    <w:name w:val="Table Grid"/>
    <w:basedOn w:val="TableNormal"/>
    <w:rsid w:val="00C50C28"/>
    <w:pPr>
      <w:spacing w:after="0" w:line="240" w:lineRule="auto"/>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saitas1">
    <w:name w:val="Hipersaitas1"/>
    <w:basedOn w:val="DefaultParagraphFont"/>
    <w:uiPriority w:val="99"/>
    <w:unhideWhenUsed/>
    <w:rsid w:val="00C50C28"/>
    <w:rPr>
      <w:color w:val="0563C1"/>
      <w:u w:val="single"/>
    </w:rPr>
  </w:style>
  <w:style w:type="paragraph" w:styleId="Header">
    <w:name w:val="header"/>
    <w:basedOn w:val="Normal"/>
    <w:link w:val="HeaderChar"/>
    <w:uiPriority w:val="99"/>
    <w:unhideWhenUsed/>
    <w:rsid w:val="00C50C28"/>
    <w:pPr>
      <w:tabs>
        <w:tab w:val="center" w:pos="4819"/>
        <w:tab w:val="right" w:pos="9638"/>
      </w:tabs>
      <w:spacing w:after="0" w:line="240" w:lineRule="auto"/>
    </w:pPr>
    <w:rPr>
      <w:rFonts w:eastAsia="Times New Roman" w:cs="Times New Roman"/>
      <w:szCs w:val="24"/>
      <w:lang w:eastAsia="lt-LT"/>
    </w:rPr>
  </w:style>
  <w:style w:type="character" w:customStyle="1" w:styleId="HeaderChar">
    <w:name w:val="Header Char"/>
    <w:basedOn w:val="DefaultParagraphFont"/>
    <w:link w:val="Header"/>
    <w:uiPriority w:val="99"/>
    <w:rsid w:val="00C50C28"/>
    <w:rPr>
      <w:rFonts w:ascii="Times New Roman" w:eastAsia="Times New Roman" w:hAnsi="Times New Roman" w:cs="Times New Roman"/>
      <w:kern w:val="0"/>
      <w:sz w:val="24"/>
      <w:szCs w:val="24"/>
      <w:lang w:eastAsia="lt-LT"/>
      <w14:ligatures w14:val="none"/>
    </w:rPr>
  </w:style>
  <w:style w:type="character" w:styleId="Hyperlink">
    <w:name w:val="Hyperlink"/>
    <w:basedOn w:val="DefaultParagraphFont"/>
    <w:uiPriority w:val="99"/>
    <w:semiHidden/>
    <w:unhideWhenUsed/>
    <w:rsid w:val="00C50C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tt.lt/korupcijos-prevencija/korupcijos-rizikos-analizes/atliktos-korupcijos-rizikos-analizes/7471/act1034" TargetMode="External"/><Relationship Id="rId2" Type="http://schemas.openxmlformats.org/officeDocument/2006/relationships/hyperlink" Target="https://www.stt.lt/korupcijos-prevencija/korupcijos-rizikos-analizes/atliktos-korupcijos-rizikos-analizes/7471/act1034" TargetMode="External"/><Relationship Id="rId1" Type="http://schemas.openxmlformats.org/officeDocument/2006/relationships/hyperlink" Target="https://e-tar.lt/portal/lt/legalAct/8c8d382067a611eca9ac839120d251c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18612</Words>
  <Characters>10609</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aiste noreikaite</cp:lastModifiedBy>
  <cp:revision>2</cp:revision>
  <dcterms:created xsi:type="dcterms:W3CDTF">2024-11-28T14:01:00Z</dcterms:created>
  <dcterms:modified xsi:type="dcterms:W3CDTF">2024-11-28T14:01:00Z</dcterms:modified>
</cp:coreProperties>
</file>